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45" w:rightFromText="45" w:vertAnchor="text"/>
        <w:tblW w:w="5000" w:type="pct"/>
        <w:tblCellSpacing w:w="37" w:type="dxa"/>
        <w:tblCellMar>
          <w:top w:w="75" w:type="dxa"/>
          <w:left w:w="75" w:type="dxa"/>
          <w:bottom w:w="75" w:type="dxa"/>
          <w:right w:w="75" w:type="dxa"/>
        </w:tblCellMar>
        <w:tblLook w:val="04A0" w:firstRow="1" w:lastRow="0" w:firstColumn="1" w:lastColumn="0" w:noHBand="0" w:noVBand="1"/>
      </w:tblPr>
      <w:tblGrid>
        <w:gridCol w:w="6508"/>
        <w:gridCol w:w="2852"/>
      </w:tblGrid>
      <w:tr w:rsidR="00B82D75" w:rsidRPr="00B82D75" w14:paraId="1C716EB6" w14:textId="77777777" w:rsidTr="00B82D75">
        <w:trPr>
          <w:tblCellSpacing w:w="37" w:type="dxa"/>
        </w:trPr>
        <w:tc>
          <w:tcPr>
            <w:tcW w:w="3500" w:type="pct"/>
            <w:vAlign w:val="center"/>
            <w:hideMark/>
          </w:tcPr>
          <w:p w14:paraId="7B32D71A" w14:textId="77777777" w:rsidR="00B82D75" w:rsidRPr="00B82D75" w:rsidRDefault="00B82D75" w:rsidP="00B82D75">
            <w:pPr>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7"/>
                <w:szCs w:val="27"/>
              </w:rPr>
              <w:t xml:space="preserve">Statistics - </w:t>
            </w:r>
            <w:proofErr w:type="spellStart"/>
            <w:proofErr w:type="gramStart"/>
            <w:r w:rsidRPr="00B82D75">
              <w:rPr>
                <w:rFonts w:ascii="Arial" w:eastAsia="Times New Roman" w:hAnsi="Arial" w:cs="Arial"/>
                <w:b/>
                <w:bCs/>
                <w:color w:val="000000"/>
                <w:sz w:val="27"/>
                <w:szCs w:val="27"/>
              </w:rPr>
              <w:t>Ph.D</w:t>
            </w:r>
            <w:proofErr w:type="spellEnd"/>
            <w:proofErr w:type="gramEnd"/>
            <w:r w:rsidRPr="00B82D75">
              <w:rPr>
                <w:rFonts w:ascii="Arial" w:eastAsia="Times New Roman" w:hAnsi="Arial" w:cs="Arial"/>
                <w:b/>
                <w:bCs/>
                <w:color w:val="000000"/>
                <w:sz w:val="27"/>
                <w:szCs w:val="27"/>
              </w:rPr>
              <w:br/>
              <w:t>2017 - 2018 Assessment Plan</w:t>
            </w:r>
          </w:p>
        </w:tc>
        <w:tc>
          <w:tcPr>
            <w:tcW w:w="1500" w:type="pct"/>
            <w:hideMark/>
          </w:tcPr>
          <w:p w14:paraId="6872F016" w14:textId="6B4A73D9" w:rsidR="00B82D75" w:rsidRPr="00B82D75" w:rsidRDefault="00B82D75" w:rsidP="00B82D75">
            <w:pPr>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15"/>
                <w:szCs w:val="15"/>
              </w:rPr>
              <w:t>Currently status is: Report Accepted</w:t>
            </w:r>
            <w:r w:rsidRPr="00B82D75">
              <w:rPr>
                <w:rFonts w:ascii="Arial" w:eastAsia="Times New Roman" w:hAnsi="Arial" w:cs="Arial"/>
                <w:b/>
                <w:bCs/>
                <w:color w:val="000000"/>
                <w:sz w:val="21"/>
                <w:szCs w:val="21"/>
              </w:rPr>
              <w:br/>
            </w:r>
          </w:p>
        </w:tc>
      </w:tr>
      <w:tr w:rsidR="00B82D75" w:rsidRPr="00B82D75" w14:paraId="3F2C71E3" w14:textId="77777777" w:rsidTr="00B82D75">
        <w:trPr>
          <w:tblCellSpacing w:w="37" w:type="dxa"/>
        </w:trPr>
        <w:tc>
          <w:tcPr>
            <w:tcW w:w="0" w:type="auto"/>
            <w:gridSpan w:val="2"/>
            <w:vAlign w:val="center"/>
            <w:hideMark/>
          </w:tcPr>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453"/>
              <w:gridCol w:w="453"/>
              <w:gridCol w:w="5437"/>
              <w:gridCol w:w="2719"/>
            </w:tblGrid>
            <w:tr w:rsidR="00B82D75" w:rsidRPr="00B82D75" w14:paraId="3DB59C36" w14:textId="77777777">
              <w:trPr>
                <w:tblCellSpacing w:w="0" w:type="dxa"/>
              </w:trPr>
              <w:tc>
                <w:tcPr>
                  <w:tcW w:w="250" w:type="pct"/>
                  <w:hideMark/>
                </w:tcPr>
                <w:p w14:paraId="46B0F31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c>
                <w:tcPr>
                  <w:tcW w:w="250" w:type="pct"/>
                  <w:hideMark/>
                </w:tcPr>
                <w:p w14:paraId="0D6B85D1" w14:textId="77777777" w:rsidR="00B82D75" w:rsidRPr="00B82D75" w:rsidRDefault="00B82D75" w:rsidP="00B82D75">
                  <w:pPr>
                    <w:framePr w:hSpace="45" w:wrap="around" w:vAnchor="text" w:hAnchor="text"/>
                    <w:spacing w:after="0" w:line="240" w:lineRule="auto"/>
                    <w:rPr>
                      <w:rFonts w:ascii="Times New Roman" w:eastAsia="Times New Roman" w:hAnsi="Times New Roman" w:cs="Times New Roman"/>
                      <w:sz w:val="20"/>
                      <w:szCs w:val="20"/>
                    </w:rPr>
                  </w:pPr>
                </w:p>
              </w:tc>
              <w:tc>
                <w:tcPr>
                  <w:tcW w:w="3000" w:type="pct"/>
                  <w:hideMark/>
                </w:tcPr>
                <w:p w14:paraId="70F95413" w14:textId="77777777" w:rsidR="00B82D75" w:rsidRPr="00B82D75" w:rsidRDefault="00B82D75" w:rsidP="00B82D75">
                  <w:pPr>
                    <w:framePr w:hSpace="45" w:wrap="around" w:vAnchor="text" w:hAnchor="text"/>
                    <w:spacing w:after="0" w:line="240" w:lineRule="auto"/>
                    <w:rPr>
                      <w:rFonts w:ascii="Times New Roman" w:eastAsia="Times New Roman" w:hAnsi="Times New Roman" w:cs="Times New Roman"/>
                      <w:sz w:val="20"/>
                      <w:szCs w:val="20"/>
                    </w:rPr>
                  </w:pPr>
                </w:p>
              </w:tc>
              <w:tc>
                <w:tcPr>
                  <w:tcW w:w="1500" w:type="pct"/>
                  <w:hideMark/>
                </w:tcPr>
                <w:p w14:paraId="281B631A" w14:textId="77777777" w:rsidR="00B82D75" w:rsidRPr="00B82D75" w:rsidRDefault="00B82D75" w:rsidP="00B82D75">
                  <w:pPr>
                    <w:framePr w:hSpace="45" w:wrap="around" w:vAnchor="text" w:hAnchor="text"/>
                    <w:spacing w:after="0" w:line="240" w:lineRule="auto"/>
                    <w:rPr>
                      <w:rFonts w:ascii="Times New Roman" w:eastAsia="Times New Roman" w:hAnsi="Times New Roman" w:cs="Times New Roman"/>
                      <w:sz w:val="20"/>
                      <w:szCs w:val="20"/>
                    </w:rPr>
                  </w:pPr>
                </w:p>
              </w:tc>
            </w:tr>
            <w:tr w:rsidR="00B82D75" w:rsidRPr="00B82D75" w14:paraId="2F90CC8A" w14:textId="77777777">
              <w:trPr>
                <w:tblCellSpacing w:w="0" w:type="dxa"/>
              </w:trPr>
              <w:tc>
                <w:tcPr>
                  <w:tcW w:w="250" w:type="pct"/>
                  <w:hideMark/>
                </w:tcPr>
                <w:p w14:paraId="7B368D3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I.</w:t>
                  </w:r>
                </w:p>
              </w:tc>
              <w:tc>
                <w:tcPr>
                  <w:tcW w:w="0" w:type="auto"/>
                  <w:gridSpan w:val="3"/>
                  <w:hideMark/>
                </w:tcPr>
                <w:p w14:paraId="76D39F3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ANNUAL REPORT FOR 2016 - 2017</w:t>
                  </w:r>
                </w:p>
              </w:tc>
            </w:tr>
            <w:tr w:rsidR="00B82D75" w:rsidRPr="00B82D75" w14:paraId="5336BEBA" w14:textId="77777777">
              <w:trPr>
                <w:tblCellSpacing w:w="0" w:type="dxa"/>
              </w:trPr>
              <w:tc>
                <w:tcPr>
                  <w:tcW w:w="0" w:type="auto"/>
                  <w:hideMark/>
                </w:tcPr>
                <w:p w14:paraId="61039AD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3"/>
                  <w:hideMark/>
                </w:tcPr>
                <w:p w14:paraId="6257A8E8"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Mission Statement</w:t>
                  </w:r>
                </w:p>
                <w:p w14:paraId="57F7A9B7"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program seeks to serve its students and society by offering a high-quality graduate experience that prepares future statistics faculty members and research statisticians for business, industry, and government. It strives to produce graduates who will substantially advance the state of knowledge in the field.</w:t>
                  </w:r>
                </w:p>
              </w:tc>
            </w:tr>
            <w:tr w:rsidR="00B82D75" w:rsidRPr="00B82D75" w14:paraId="05A7BBF1" w14:textId="77777777">
              <w:trPr>
                <w:tblCellSpacing w:w="0" w:type="dxa"/>
              </w:trPr>
              <w:tc>
                <w:tcPr>
                  <w:tcW w:w="0" w:type="auto"/>
                  <w:gridSpan w:val="4"/>
                  <w:vAlign w:val="center"/>
                  <w:hideMark/>
                </w:tcPr>
                <w:p w14:paraId="763FB8F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0FFA78B1" w14:textId="77777777">
              <w:trPr>
                <w:tblCellSpacing w:w="0" w:type="dxa"/>
              </w:trPr>
              <w:tc>
                <w:tcPr>
                  <w:tcW w:w="0" w:type="auto"/>
                  <w:hideMark/>
                </w:tcPr>
                <w:p w14:paraId="0EE1C8B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3"/>
                  <w:hideMark/>
                </w:tcPr>
                <w:p w14:paraId="06DE0F38"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Goal 1.</w:t>
                  </w:r>
                  <w:r w:rsidRPr="00B82D75">
                    <w:rPr>
                      <w:rFonts w:ascii="Arial" w:eastAsia="Times New Roman" w:hAnsi="Arial" w:cs="Arial"/>
                      <w:color w:val="000000"/>
                      <w:sz w:val="21"/>
                      <w:szCs w:val="21"/>
                    </w:rPr>
                    <w:br/>
                    <w:t>The Doctor of Philosophy in Statistics is designed to prepare the student to teach statistics at the collegiate level, to do independent research, and/or work as a lead statistician in business or industry.</w:t>
                  </w:r>
                </w:p>
              </w:tc>
            </w:tr>
            <w:tr w:rsidR="00B82D75" w:rsidRPr="00B82D75" w14:paraId="077830A3" w14:textId="77777777">
              <w:trPr>
                <w:tblCellSpacing w:w="0" w:type="dxa"/>
              </w:trPr>
              <w:tc>
                <w:tcPr>
                  <w:tcW w:w="0" w:type="auto"/>
                  <w:hideMark/>
                </w:tcPr>
                <w:p w14:paraId="16F4CB4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3"/>
                  <w:hideMark/>
                </w:tcPr>
                <w:p w14:paraId="48267C3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Curriculum</w:t>
                  </w:r>
                  <w:r w:rsidRPr="00B82D75">
                    <w:rPr>
                      <w:rFonts w:ascii="Arial" w:eastAsia="Times New Roman" w:hAnsi="Arial" w:cs="Arial"/>
                      <w:color w:val="000000"/>
                      <w:sz w:val="21"/>
                      <w:szCs w:val="21"/>
                    </w:rPr>
                    <w:br/>
                    <w:t xml:space="preserve">Beyond the coursework required for the </w:t>
                  </w:r>
                  <w:proofErr w:type="gramStart"/>
                  <w:r w:rsidRPr="00B82D75">
                    <w:rPr>
                      <w:rFonts w:ascii="Arial" w:eastAsia="Times New Roman" w:hAnsi="Arial" w:cs="Arial"/>
                      <w:color w:val="000000"/>
                      <w:sz w:val="21"/>
                      <w:szCs w:val="21"/>
                    </w:rPr>
                    <w:t>master of science</w:t>
                  </w:r>
                  <w:proofErr w:type="gramEnd"/>
                  <w:r w:rsidRPr="00B82D75">
                    <w:rPr>
                      <w:rFonts w:ascii="Arial" w:eastAsia="Times New Roman" w:hAnsi="Arial" w:cs="Arial"/>
                      <w:color w:val="000000"/>
                      <w:sz w:val="21"/>
                      <w:szCs w:val="21"/>
                    </w:rPr>
                    <w:t>, tested in the Ph.D. qualifying exam, candidates for the Ph.D. are required to take additional advanced coursework in statistical theory, including: STAT 810 – Probability Theory I, STAT 811 – Probability Theory II, 721 – Stochastic Processes, STAT 822 – Advanced Statistical Inference, STAT 823 – Large Sample Theory, STAT 824 - Nonparametric Inference, and STAT 740 – Statistical Computing. They must successfully complete a doctoral dissertation that adds to the body of knowledge in the field, orally present that dissertation, and successfully pass an oral exam on the topics of the dissertation administered by at least four faculty members. Students who express the desire to pursue careers in academia are afforded the opportunity to teach, including weekly support meetings with the course coordinator.</w:t>
                  </w:r>
                </w:p>
              </w:tc>
            </w:tr>
            <w:tr w:rsidR="00B82D75" w:rsidRPr="00B82D75" w14:paraId="08EE076C" w14:textId="77777777">
              <w:trPr>
                <w:tblCellSpacing w:w="0" w:type="dxa"/>
              </w:trPr>
              <w:tc>
                <w:tcPr>
                  <w:tcW w:w="0" w:type="auto"/>
                  <w:hideMark/>
                </w:tcPr>
                <w:p w14:paraId="28EE8AD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6251720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6991915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1.</w:t>
                  </w:r>
                </w:p>
              </w:tc>
              <w:tc>
                <w:tcPr>
                  <w:tcW w:w="0" w:type="auto"/>
                  <w:shd w:val="clear" w:color="auto" w:fill="CCCCCC"/>
                  <w:hideMark/>
                </w:tcPr>
                <w:p w14:paraId="1082E73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46641783" w14:textId="77777777">
              <w:trPr>
                <w:tblCellSpacing w:w="0" w:type="dxa"/>
              </w:trPr>
              <w:tc>
                <w:tcPr>
                  <w:tcW w:w="0" w:type="auto"/>
                  <w:hideMark/>
                </w:tcPr>
                <w:p w14:paraId="2E9F822B"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38516D7C"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26E1FAE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recipient should have solid knowledge of the advanced theory of statistics and probability.</w:t>
                  </w:r>
                </w:p>
              </w:tc>
            </w:tr>
            <w:tr w:rsidR="00B82D75" w:rsidRPr="00B82D75" w14:paraId="2136C1BC" w14:textId="77777777">
              <w:trPr>
                <w:tblCellSpacing w:w="0" w:type="dxa"/>
              </w:trPr>
              <w:tc>
                <w:tcPr>
                  <w:tcW w:w="0" w:type="auto"/>
                  <w:hideMark/>
                </w:tcPr>
                <w:p w14:paraId="08E6C60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184787F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6E3762B1" w14:textId="77777777">
                    <w:trPr>
                      <w:tblCellSpacing w:w="15" w:type="dxa"/>
                    </w:trPr>
                    <w:tc>
                      <w:tcPr>
                        <w:tcW w:w="3000" w:type="pct"/>
                        <w:hideMark/>
                      </w:tcPr>
                      <w:p w14:paraId="0B37893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6C96BF5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CFCF73C" w14:textId="77777777">
                    <w:trPr>
                      <w:tblCellSpacing w:w="15" w:type="dxa"/>
                    </w:trPr>
                    <w:tc>
                      <w:tcPr>
                        <w:tcW w:w="0" w:type="auto"/>
                        <w:gridSpan w:val="2"/>
                        <w:hideMark/>
                      </w:tcPr>
                      <w:p w14:paraId="5DD20454"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Ph.D. students should successfully demonstrate mastery of the advanced theory of statistics and probability in the seven advanced courses expressly designed to cover the major topics in the area at the level appropriate for the Ph.D.  Professors of Ph.D. required courses should rank at least 80% of students completing their courses as "adequate" in terms of mastery of the material.  Students completing the Ph.D. theory courses should have confidence in their </w:t>
                        </w:r>
                        <w:proofErr w:type="spellStart"/>
                        <w:proofErr w:type="gramStart"/>
                        <w:r w:rsidRPr="00B82D75">
                          <w:rPr>
                            <w:rFonts w:ascii="Arial" w:eastAsia="Times New Roman" w:hAnsi="Arial" w:cs="Arial"/>
                            <w:color w:val="000000"/>
                            <w:sz w:val="21"/>
                            <w:szCs w:val="21"/>
                          </w:rPr>
                          <w:t>knowledge,and</w:t>
                        </w:r>
                        <w:proofErr w:type="spellEnd"/>
                        <w:proofErr w:type="gramEnd"/>
                        <w:r w:rsidRPr="00B82D75">
                          <w:rPr>
                            <w:rFonts w:ascii="Arial" w:eastAsia="Times New Roman" w:hAnsi="Arial" w:cs="Arial"/>
                            <w:color w:val="000000"/>
                            <w:sz w:val="21"/>
                            <w:szCs w:val="21"/>
                          </w:rPr>
                          <w:t xml:space="preserve">  particularly in their ability to modify concepts and arguments presented in these courses to solve new methodological bottlenecks.  Therefore, the median score on the exit survey question "How do you assess your ability to derive and interpret results in mathematical statistics?" should be at least "very good."</w:t>
                        </w:r>
                      </w:p>
                    </w:tc>
                  </w:tr>
                  <w:tr w:rsidR="00B82D75" w:rsidRPr="00B82D75" w14:paraId="73A4BC8C" w14:textId="77777777">
                    <w:trPr>
                      <w:tblCellSpacing w:w="15" w:type="dxa"/>
                    </w:trPr>
                    <w:tc>
                      <w:tcPr>
                        <w:tcW w:w="0" w:type="auto"/>
                        <w:hideMark/>
                      </w:tcPr>
                      <w:p w14:paraId="6FA5A82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Methods</w:t>
                        </w:r>
                      </w:p>
                    </w:tc>
                    <w:tc>
                      <w:tcPr>
                        <w:tcW w:w="0" w:type="auto"/>
                        <w:hideMark/>
                      </w:tcPr>
                      <w:p w14:paraId="413043C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BCAE511" w14:textId="77777777">
                    <w:trPr>
                      <w:tblCellSpacing w:w="15" w:type="dxa"/>
                    </w:trPr>
                    <w:tc>
                      <w:tcPr>
                        <w:tcW w:w="0" w:type="auto"/>
                        <w:gridSpan w:val="2"/>
                        <w:hideMark/>
                      </w:tcPr>
                      <w:p w14:paraId="11E23AD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Success in meeting this learning outcome is evaluated every third year (the next round is academic year 2017-2018). Information for this evaluation include the students’ demonstration of this knowledge through exams and coursework, a summary of each student's command over PhD core material as evidenced by their </w:t>
                        </w:r>
                        <w:r w:rsidRPr="00B82D75">
                          <w:rPr>
                            <w:rFonts w:ascii="Arial" w:eastAsia="Times New Roman" w:hAnsi="Arial" w:cs="Arial"/>
                            <w:color w:val="000000"/>
                            <w:sz w:val="21"/>
                            <w:szCs w:val="21"/>
                          </w:rPr>
                          <w:lastRenderedPageBreak/>
                          <w:t>Comprehensive Examination, supplemented by the students’ impressions of their knowledge as evaluated by the graduate student exit survey.</w:t>
                        </w:r>
                      </w:p>
                      <w:p w14:paraId="2EF87791"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professor(s) of STAT 810, 811, 721, 822, 823, 824, and 740 will evaluate student performance in the form of a written summary of the strengths and weaknesses of that cohort of students in terms of the course's subject matter.  Specifically, each professor will delineate the most important areas in which students met or exceeded the expectations of the course's learning outcomes as listed in the course syllabus.  As a summary measure, each professor will provide a proportion of students completing their course that are at least "adequate" in terms of mastery of the material.</w:t>
                        </w:r>
                      </w:p>
                      <w:p w14:paraId="0D0FBC43"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Each student's Comprehensive Examination Committee will provide a brief written summary of the student's strengths and weaknesses in terms of PhD core sequence material in relation to the student's research topic(s) on the Statistics Department Comprehensive Examination (</w:t>
                        </w:r>
                        <w:proofErr w:type="gramStart"/>
                        <w:r w:rsidRPr="00B82D75">
                          <w:rPr>
                            <w:rFonts w:ascii="Arial" w:eastAsia="Times New Roman" w:hAnsi="Arial" w:cs="Arial"/>
                            <w:color w:val="000000"/>
                            <w:sz w:val="21"/>
                            <w:szCs w:val="21"/>
                          </w:rPr>
                          <w:t>i.e.</w:t>
                        </w:r>
                        <w:proofErr w:type="gramEnd"/>
                        <w:r w:rsidRPr="00B82D75">
                          <w:rPr>
                            <w:rFonts w:ascii="Arial" w:eastAsia="Times New Roman" w:hAnsi="Arial" w:cs="Arial"/>
                            <w:color w:val="000000"/>
                            <w:sz w:val="21"/>
                            <w:szCs w:val="21"/>
                          </w:rPr>
                          <w:t xml:space="preserve"> Dissertation Proposal) form.</w:t>
                        </w:r>
                      </w:p>
                      <w:p w14:paraId="2FB60DDD"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student responses to the exit survey question: “How do you assess your ability to derive and interpret results in mathematical statistics?”</w:t>
                        </w:r>
                      </w:p>
                      <w:p w14:paraId="763EA19C"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These results will be presented to the department’s graduate committee who will prepare a report on the findings, along with initial suggestions for further refinement or improvement of the program if necessary. The committee report will be presented to the entire department as an agenda item at the annual department retreat.</w:t>
                        </w:r>
                      </w:p>
                    </w:tc>
                  </w:tr>
                  <w:tr w:rsidR="00B82D75" w:rsidRPr="00B82D75" w14:paraId="28FF0E55" w14:textId="77777777">
                    <w:trPr>
                      <w:tblCellSpacing w:w="15" w:type="dxa"/>
                    </w:trPr>
                    <w:tc>
                      <w:tcPr>
                        <w:tcW w:w="0" w:type="auto"/>
                        <w:hideMark/>
                      </w:tcPr>
                      <w:p w14:paraId="11C29FB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Results</w:t>
                        </w:r>
                      </w:p>
                    </w:tc>
                    <w:tc>
                      <w:tcPr>
                        <w:tcW w:w="0" w:type="auto"/>
                        <w:hideMark/>
                      </w:tcPr>
                      <w:p w14:paraId="7275B71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2E58ABA4" w14:textId="77777777">
                    <w:trPr>
                      <w:tblCellSpacing w:w="15" w:type="dxa"/>
                    </w:trPr>
                    <w:tc>
                      <w:tcPr>
                        <w:tcW w:w="0" w:type="auto"/>
                        <w:gridSpan w:val="2"/>
                        <w:hideMark/>
                      </w:tcPr>
                      <w:p w14:paraId="5BD5A646"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No assessment needed this year.</w:t>
                        </w:r>
                      </w:p>
                    </w:tc>
                  </w:tr>
                  <w:tr w:rsidR="00B82D75" w:rsidRPr="00B82D75" w14:paraId="0B3BFF30" w14:textId="77777777">
                    <w:trPr>
                      <w:tblCellSpacing w:w="15" w:type="dxa"/>
                    </w:trPr>
                    <w:tc>
                      <w:tcPr>
                        <w:tcW w:w="0" w:type="auto"/>
                        <w:hideMark/>
                      </w:tcPr>
                      <w:p w14:paraId="1ABD6EC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Use of Results</w:t>
                        </w:r>
                      </w:p>
                    </w:tc>
                    <w:tc>
                      <w:tcPr>
                        <w:tcW w:w="0" w:type="auto"/>
                        <w:hideMark/>
                      </w:tcPr>
                      <w:p w14:paraId="704E69C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42A8B8CD" w14:textId="77777777">
                    <w:trPr>
                      <w:tblCellSpacing w:w="15" w:type="dxa"/>
                    </w:trPr>
                    <w:tc>
                      <w:tcPr>
                        <w:tcW w:w="0" w:type="auto"/>
                        <w:gridSpan w:val="2"/>
                        <w:hideMark/>
                      </w:tcPr>
                      <w:p w14:paraId="17B98179"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No assessment needed this year.</w:t>
                        </w:r>
                      </w:p>
                    </w:tc>
                  </w:tr>
                </w:tbl>
                <w:p w14:paraId="5DC6730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4B8B7C20" w14:textId="77777777">
              <w:trPr>
                <w:tblCellSpacing w:w="0" w:type="dxa"/>
              </w:trPr>
              <w:tc>
                <w:tcPr>
                  <w:tcW w:w="0" w:type="auto"/>
                  <w:hideMark/>
                </w:tcPr>
                <w:p w14:paraId="4CB3110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 </w:t>
                  </w:r>
                </w:p>
              </w:tc>
              <w:tc>
                <w:tcPr>
                  <w:tcW w:w="0" w:type="auto"/>
                  <w:hideMark/>
                </w:tcPr>
                <w:p w14:paraId="0CA026B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76F8E0D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2.</w:t>
                  </w:r>
                </w:p>
              </w:tc>
              <w:tc>
                <w:tcPr>
                  <w:tcW w:w="0" w:type="auto"/>
                  <w:shd w:val="clear" w:color="auto" w:fill="CCCCCC"/>
                  <w:hideMark/>
                </w:tcPr>
                <w:p w14:paraId="44D5723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49F4D919" w14:textId="77777777">
              <w:trPr>
                <w:tblCellSpacing w:w="0" w:type="dxa"/>
              </w:trPr>
              <w:tc>
                <w:tcPr>
                  <w:tcW w:w="0" w:type="auto"/>
                  <w:hideMark/>
                </w:tcPr>
                <w:p w14:paraId="4125B0C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5DFC151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2AC1054B"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recipient should have the ability to substantially add to the body of knowledge in the field in statistics.</w:t>
                  </w:r>
                </w:p>
              </w:tc>
            </w:tr>
            <w:tr w:rsidR="00B82D75" w:rsidRPr="00B82D75" w14:paraId="3C1AB39C" w14:textId="77777777">
              <w:trPr>
                <w:tblCellSpacing w:w="0" w:type="dxa"/>
              </w:trPr>
              <w:tc>
                <w:tcPr>
                  <w:tcW w:w="0" w:type="auto"/>
                  <w:hideMark/>
                </w:tcPr>
                <w:p w14:paraId="51397F8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25DE4A0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7496B415" w14:textId="77777777">
                    <w:trPr>
                      <w:tblCellSpacing w:w="15" w:type="dxa"/>
                    </w:trPr>
                    <w:tc>
                      <w:tcPr>
                        <w:tcW w:w="3000" w:type="pct"/>
                        <w:hideMark/>
                      </w:tcPr>
                      <w:p w14:paraId="5BCA4B7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7ABE60DB"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6B6CA867" w14:textId="77777777">
                    <w:trPr>
                      <w:tblCellSpacing w:w="15" w:type="dxa"/>
                    </w:trPr>
                    <w:tc>
                      <w:tcPr>
                        <w:tcW w:w="0" w:type="auto"/>
                        <w:gridSpan w:val="2"/>
                        <w:hideMark/>
                      </w:tcPr>
                      <w:p w14:paraId="548773A7"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students’ research should be presented to the field at large through publication in statistical journals and presentations at national research meetings of statisticians, including the publication of the dissertation.  At least 80% of graduated Ph.D. students should have one or more major publications stemming from their dissertation in a mainstream statistics journal within three years of their defense.  In addition, the median score on the exit survey question "How do you assess your ability to develop statistical work that is publishable in a reputable journal of the field?" should be at least "very good".</w:t>
                        </w:r>
                      </w:p>
                    </w:tc>
                  </w:tr>
                  <w:tr w:rsidR="00B82D75" w:rsidRPr="00B82D75" w14:paraId="21E99351" w14:textId="77777777">
                    <w:trPr>
                      <w:tblCellSpacing w:w="15" w:type="dxa"/>
                    </w:trPr>
                    <w:tc>
                      <w:tcPr>
                        <w:tcW w:w="0" w:type="auto"/>
                        <w:hideMark/>
                      </w:tcPr>
                      <w:p w14:paraId="4285765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Methods</w:t>
                        </w:r>
                      </w:p>
                    </w:tc>
                    <w:tc>
                      <w:tcPr>
                        <w:tcW w:w="0" w:type="auto"/>
                        <w:hideMark/>
                      </w:tcPr>
                      <w:p w14:paraId="151A02C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30243EB4" w14:textId="77777777">
                    <w:trPr>
                      <w:tblCellSpacing w:w="15" w:type="dxa"/>
                    </w:trPr>
                    <w:tc>
                      <w:tcPr>
                        <w:tcW w:w="0" w:type="auto"/>
                        <w:gridSpan w:val="2"/>
                        <w:hideMark/>
                      </w:tcPr>
                      <w:p w14:paraId="18C54A0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Success in meeting this learning outcome is evaluated every third year (next round will be academic year 2016-2017). The major source of information for evaluating this criterion is the actual research productivity of the current Ph.D. students in the department and those who have graduated within the past three years.  The expectation is that each successful PhD student will eventually publish at least one substantial paper from their dissertation, and ideally two or more.  Therefore, upon defense of the PhD, it is expected that each graduate student will have at least one </w:t>
                        </w:r>
                        <w:r w:rsidRPr="00B82D75">
                          <w:rPr>
                            <w:rFonts w:ascii="Arial" w:eastAsia="Times New Roman" w:hAnsi="Arial" w:cs="Arial"/>
                            <w:color w:val="000000"/>
                            <w:sz w:val="21"/>
                            <w:szCs w:val="21"/>
                          </w:rPr>
                          <w:lastRenderedPageBreak/>
                          <w:t>paper submitted for publication.  This information on raw productivity (submitted papers) and quality (accepted papers) is supplemented by the students’ impressions of their capabilities as evaluated by the graduate student exit survey, and the evaluation of the dissertation research at the time of the defense by the final examination committee.</w:t>
                        </w:r>
                      </w:p>
                      <w:p w14:paraId="63B643A3"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collect the titles of publications (and names of journals) made by the current Ph.D. students in the department and those graduated within the past three years.</w:t>
                        </w:r>
                      </w:p>
                      <w:p w14:paraId="624DB488"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student responses to the exit survey question: “How do you assess your ability to develop statistical work that is publishable in a reputable journal of the field.”</w:t>
                        </w:r>
                      </w:p>
                      <w:p w14:paraId="5A13A9F5"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Each Ph.D. final examination committee shall produce summaries of the quality of research in the student dissertation. These reports are collected by the assessment coordinator.</w:t>
                        </w:r>
                      </w:p>
                      <w:p w14:paraId="3F6C1311"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These results will be presented to the department’s graduate committee who will prepare a report on the findings, along with initial suggestions for further refinement or improvement of the program if necessary. The committee report will be presented to the entire department as an agenda item at the annual department retreat.</w:t>
                        </w:r>
                      </w:p>
                    </w:tc>
                  </w:tr>
                  <w:tr w:rsidR="00B82D75" w:rsidRPr="00B82D75" w14:paraId="576A0619" w14:textId="77777777">
                    <w:trPr>
                      <w:tblCellSpacing w:w="15" w:type="dxa"/>
                    </w:trPr>
                    <w:tc>
                      <w:tcPr>
                        <w:tcW w:w="0" w:type="auto"/>
                        <w:hideMark/>
                      </w:tcPr>
                      <w:p w14:paraId="79865CD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Results</w:t>
                        </w:r>
                      </w:p>
                    </w:tc>
                    <w:tc>
                      <w:tcPr>
                        <w:tcW w:w="0" w:type="auto"/>
                        <w:hideMark/>
                      </w:tcPr>
                      <w:p w14:paraId="32A3F7E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2BEF5083" w14:textId="77777777">
                    <w:trPr>
                      <w:tblCellSpacing w:w="15" w:type="dxa"/>
                    </w:trPr>
                    <w:tc>
                      <w:tcPr>
                        <w:tcW w:w="0" w:type="auto"/>
                        <w:gridSpan w:val="2"/>
                        <w:hideMark/>
                      </w:tcPr>
                      <w:p w14:paraId="1978DB3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Graduate student publications for 19 current students and 21 students graduating 2014-2017 are listed below.  Current students include third-year students, who have just begun their research.  Among students who graduate in 2014-2017, 15 (72%) had at least one submission or publication, and 10 (48%) had multiple submissions/publications, some of which post-date their dissertation work.  Among current 5</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(or greater) students, 5 of 6 (83%) have a single publication or submission.  Three of 7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students (42%) have a publication or submission, and 1 of 7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 students (14%) have a single publication or submission.  Only one current student has multiple submissions/publications.</w:t>
                        </w:r>
                      </w:p>
                      <w:p w14:paraId="4C7F1A5C"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Our eight 2014-2017 graduates who accepted tenure-track positions upon graduation have all had submissions or publications, with seven of those eight having multiple publications or submissions.  This outcome clearly meets the criteria for former doctoral students.  Eight of our </w:t>
                        </w:r>
                        <w:proofErr w:type="gramStart"/>
                        <w:r w:rsidRPr="00B82D75">
                          <w:rPr>
                            <w:rFonts w:ascii="Arial" w:eastAsia="Times New Roman" w:hAnsi="Arial" w:cs="Arial"/>
                            <w:color w:val="000000"/>
                            <w:sz w:val="21"/>
                            <w:szCs w:val="21"/>
                          </w:rPr>
                          <w:t>13  (</w:t>
                        </w:r>
                        <w:proofErr w:type="gramEnd"/>
                        <w:r w:rsidRPr="00B82D75">
                          <w:rPr>
                            <w:rFonts w:ascii="Arial" w:eastAsia="Times New Roman" w:hAnsi="Arial" w:cs="Arial"/>
                            <w:color w:val="000000"/>
                            <w:sz w:val="21"/>
                            <w:szCs w:val="21"/>
                          </w:rPr>
                          <w:t>62%) current students who may defend their thesis in a year have submissions or publications; this percentage is lower than it should be. </w:t>
                        </w:r>
                      </w:p>
                      <w:p w14:paraId="4323108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Exit </w:t>
                        </w:r>
                        <w:proofErr w:type="gramStart"/>
                        <w:r w:rsidRPr="00B82D75">
                          <w:rPr>
                            <w:rFonts w:ascii="Arial" w:eastAsia="Times New Roman" w:hAnsi="Arial" w:cs="Arial"/>
                            <w:color w:val="000000"/>
                            <w:sz w:val="21"/>
                            <w:szCs w:val="21"/>
                          </w:rPr>
                          <w:t>survey</w:t>
                        </w:r>
                        <w:proofErr w:type="gramEnd"/>
                      </w:p>
                      <w:p w14:paraId="333E6529"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A total of 10 PhD students completed the exit survey from December 2013 to May 2017.  Their response distribution to Q21 (How do you assess your ability to develop statistical work that is publishable in your field?) was: Fair-1, Good-4, Very Good-4, Excellent-1, so the median score falls between Good and the </w:t>
                        </w:r>
                        <w:proofErr w:type="gramStart"/>
                        <w:r w:rsidRPr="00B82D75">
                          <w:rPr>
                            <w:rFonts w:ascii="Arial" w:eastAsia="Times New Roman" w:hAnsi="Arial" w:cs="Arial"/>
                            <w:color w:val="000000"/>
                            <w:sz w:val="21"/>
                            <w:szCs w:val="21"/>
                          </w:rPr>
                          <w:t>target  of</w:t>
                        </w:r>
                        <w:proofErr w:type="gramEnd"/>
                        <w:r w:rsidRPr="00B82D75">
                          <w:rPr>
                            <w:rFonts w:ascii="Arial" w:eastAsia="Times New Roman" w:hAnsi="Arial" w:cs="Arial"/>
                            <w:color w:val="000000"/>
                            <w:sz w:val="21"/>
                            <w:szCs w:val="21"/>
                          </w:rPr>
                          <w:t xml:space="preserve"> Very Good.  Compared to historical data, the response to this question has proven stable.</w:t>
                        </w:r>
                      </w:p>
                      <w:p w14:paraId="7BBBA65D"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Seungchul</w:t>
                        </w:r>
                        <w:proofErr w:type="spellEnd"/>
                        <w:r w:rsidRPr="00B82D75">
                          <w:rPr>
                            <w:rFonts w:ascii="Arial" w:eastAsia="Times New Roman" w:hAnsi="Arial" w:cs="Arial"/>
                            <w:color w:val="000000"/>
                            <w:sz w:val="21"/>
                            <w:szCs w:val="21"/>
                          </w:rPr>
                          <w:t xml:space="preserve"> </w:t>
                        </w:r>
                        <w:proofErr w:type="spellStart"/>
                        <w:r w:rsidRPr="00B82D75">
                          <w:rPr>
                            <w:rFonts w:ascii="Arial" w:eastAsia="Times New Roman" w:hAnsi="Arial" w:cs="Arial"/>
                            <w:color w:val="000000"/>
                            <w:sz w:val="21"/>
                            <w:szCs w:val="21"/>
                          </w:rPr>
                          <w:t>Baek</w:t>
                        </w:r>
                        <w:proofErr w:type="spellEnd"/>
                        <w:r w:rsidRPr="00B82D75">
                          <w:rPr>
                            <w:rFonts w:ascii="Arial" w:eastAsia="Times New Roman" w:hAnsi="Arial" w:cs="Arial"/>
                            <w:color w:val="000000"/>
                            <w:sz w:val="21"/>
                            <w:szCs w:val="21"/>
                          </w:rPr>
                          <w:t xml:space="preserve">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68EA4122" w14:textId="77777777" w:rsidR="00B82D75" w:rsidRPr="00B82D75" w:rsidRDefault="00B82D75" w:rsidP="00B82D75">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Jiang, F., </w:t>
                        </w:r>
                        <w:proofErr w:type="spellStart"/>
                        <w:r w:rsidRPr="00B82D75">
                          <w:rPr>
                            <w:rFonts w:ascii="Arial" w:eastAsia="Times New Roman" w:hAnsi="Arial" w:cs="Arial"/>
                            <w:b/>
                            <w:bCs/>
                            <w:color w:val="000000"/>
                            <w:sz w:val="21"/>
                            <w:szCs w:val="21"/>
                          </w:rPr>
                          <w:t>Baek</w:t>
                        </w:r>
                        <w:proofErr w:type="spellEnd"/>
                        <w:r w:rsidRPr="00B82D75">
                          <w:rPr>
                            <w:rFonts w:ascii="Arial" w:eastAsia="Times New Roman" w:hAnsi="Arial" w:cs="Arial"/>
                            <w:b/>
                            <w:bCs/>
                            <w:color w:val="000000"/>
                            <w:sz w:val="21"/>
                            <w:szCs w:val="21"/>
                          </w:rPr>
                          <w:t>, S.,</w:t>
                        </w:r>
                        <w:r w:rsidRPr="00B82D75">
                          <w:rPr>
                            <w:rFonts w:ascii="Arial" w:eastAsia="Times New Roman" w:hAnsi="Arial" w:cs="Arial"/>
                            <w:color w:val="000000"/>
                            <w:sz w:val="21"/>
                            <w:szCs w:val="21"/>
                          </w:rPr>
                          <w:t> Cao, J. and </w:t>
                        </w:r>
                        <w:r w:rsidRPr="00B82D75">
                          <w:rPr>
                            <w:rFonts w:ascii="Arial" w:eastAsia="Times New Roman" w:hAnsi="Arial" w:cs="Arial"/>
                            <w:b/>
                            <w:bCs/>
                            <w:color w:val="000000"/>
                            <w:sz w:val="21"/>
                            <w:szCs w:val="21"/>
                          </w:rPr>
                          <w:t>Ma, Y.</w:t>
                        </w:r>
                        <w:r w:rsidRPr="00B82D75">
                          <w:rPr>
                            <w:rFonts w:ascii="Arial" w:eastAsia="Times New Roman" w:hAnsi="Arial" w:cs="Arial"/>
                            <w:color w:val="000000"/>
                            <w:sz w:val="21"/>
                            <w:szCs w:val="21"/>
                          </w:rPr>
                          <w:t> (2015+) A Functional Single Index Model, </w:t>
                        </w:r>
                        <w:r w:rsidRPr="00B82D75">
                          <w:rPr>
                            <w:rFonts w:ascii="Arial" w:eastAsia="Times New Roman" w:hAnsi="Arial" w:cs="Arial"/>
                            <w:i/>
                            <w:iCs/>
                            <w:color w:val="000000"/>
                            <w:sz w:val="21"/>
                            <w:szCs w:val="21"/>
                          </w:rPr>
                          <w:t>Annals of Statistics</w:t>
                        </w:r>
                        <w:r w:rsidRPr="00B82D75">
                          <w:rPr>
                            <w:rFonts w:ascii="Arial" w:eastAsia="Times New Roman" w:hAnsi="Arial" w:cs="Arial"/>
                            <w:color w:val="000000"/>
                            <w:sz w:val="21"/>
                            <w:szCs w:val="21"/>
                          </w:rPr>
                          <w:t>, submitted.</w:t>
                        </w:r>
                      </w:p>
                      <w:p w14:paraId="7DD19F39" w14:textId="77777777" w:rsidR="00B82D75" w:rsidRPr="00B82D75" w:rsidRDefault="00B82D75" w:rsidP="00B82D75">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 xml:space="preserve">S. </w:t>
                        </w:r>
                        <w:proofErr w:type="spellStart"/>
                        <w:r w:rsidRPr="00B82D75">
                          <w:rPr>
                            <w:rFonts w:ascii="Arial" w:eastAsia="Times New Roman" w:hAnsi="Arial" w:cs="Arial"/>
                            <w:b/>
                            <w:bCs/>
                            <w:color w:val="000000"/>
                            <w:sz w:val="21"/>
                            <w:szCs w:val="21"/>
                          </w:rPr>
                          <w:t>Baek</w:t>
                        </w:r>
                        <w:proofErr w:type="spellEnd"/>
                        <w:r w:rsidRPr="00B82D75">
                          <w:rPr>
                            <w:rFonts w:ascii="Arial" w:eastAsia="Times New Roman" w:hAnsi="Arial" w:cs="Arial"/>
                            <w:color w:val="000000"/>
                            <w:sz w:val="21"/>
                            <w:szCs w:val="21"/>
                          </w:rPr>
                          <w:t>, O. Komori, and </w:t>
                        </w:r>
                        <w:r w:rsidRPr="00B82D75">
                          <w:rPr>
                            <w:rFonts w:ascii="Arial" w:eastAsia="Times New Roman" w:hAnsi="Arial" w:cs="Arial"/>
                            <w:b/>
                            <w:bCs/>
                            <w:color w:val="000000"/>
                            <w:sz w:val="21"/>
                            <w:szCs w:val="21"/>
                          </w:rPr>
                          <w:t>Y. Ma</w:t>
                        </w:r>
                        <w:r w:rsidRPr="00B82D75">
                          <w:rPr>
                            <w:rFonts w:ascii="Arial" w:eastAsia="Times New Roman" w:hAnsi="Arial" w:cs="Arial"/>
                            <w:color w:val="000000"/>
                            <w:sz w:val="21"/>
                            <w:szCs w:val="21"/>
                          </w:rPr>
                          <w:t> (2017+). An optimal semiparametric method for two-group classification, </w:t>
                        </w:r>
                        <w:r w:rsidRPr="00B82D75">
                          <w:rPr>
                            <w:rFonts w:ascii="Arial" w:eastAsia="Times New Roman" w:hAnsi="Arial" w:cs="Arial"/>
                            <w:i/>
                            <w:iCs/>
                            <w:color w:val="000000"/>
                            <w:sz w:val="21"/>
                            <w:szCs w:val="21"/>
                          </w:rPr>
                          <w:t>Scandinavian Journal of Statistics</w:t>
                        </w:r>
                        <w:r w:rsidRPr="00B82D75">
                          <w:rPr>
                            <w:rFonts w:ascii="Arial" w:eastAsia="Times New Roman" w:hAnsi="Arial" w:cs="Arial"/>
                            <w:color w:val="000000"/>
                            <w:sz w:val="21"/>
                            <w:szCs w:val="21"/>
                          </w:rPr>
                          <w:t>, submitted.</w:t>
                        </w:r>
                      </w:p>
                      <w:p w14:paraId="6DD640C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Junshu</w:t>
                        </w:r>
                        <w:proofErr w:type="spellEnd"/>
                        <w:r w:rsidRPr="00B82D75">
                          <w:rPr>
                            <w:rFonts w:ascii="Arial" w:eastAsia="Times New Roman" w:hAnsi="Arial" w:cs="Arial"/>
                            <w:color w:val="000000"/>
                            <w:sz w:val="21"/>
                            <w:szCs w:val="21"/>
                          </w:rPr>
                          <w:t xml:space="preserve"> Bao (2016)</w:t>
                        </w:r>
                      </w:p>
                      <w:p w14:paraId="4F80ABF3" w14:textId="77777777" w:rsidR="00B82D75" w:rsidRPr="00B82D75" w:rsidRDefault="00B82D75" w:rsidP="00B82D75">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Bao, J.</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xml:space="preserve"> (2016). A mean-constrained finite mixture of </w:t>
                        </w:r>
                        <w:proofErr w:type="spellStart"/>
                        <w:r w:rsidRPr="00B82D75">
                          <w:rPr>
                            <w:rFonts w:ascii="Arial" w:eastAsia="Times New Roman" w:hAnsi="Arial" w:cs="Arial"/>
                            <w:color w:val="000000"/>
                            <w:sz w:val="21"/>
                            <w:szCs w:val="21"/>
                          </w:rPr>
                          <w:t>normals</w:t>
                        </w:r>
                        <w:proofErr w:type="spellEnd"/>
                        <w:r w:rsidRPr="00B82D75">
                          <w:rPr>
                            <w:rFonts w:ascii="Arial" w:eastAsia="Times New Roman" w:hAnsi="Arial" w:cs="Arial"/>
                            <w:color w:val="000000"/>
                            <w:sz w:val="21"/>
                            <w:szCs w:val="21"/>
                          </w:rPr>
                          <w:t>. </w:t>
                        </w:r>
                        <w:r w:rsidRPr="00B82D75">
                          <w:rPr>
                            <w:rFonts w:ascii="Arial" w:eastAsia="Times New Roman" w:hAnsi="Arial" w:cs="Arial"/>
                            <w:i/>
                            <w:iCs/>
                            <w:color w:val="000000"/>
                            <w:sz w:val="21"/>
                            <w:szCs w:val="21"/>
                          </w:rPr>
                          <w:t>Statistics &amp; Probability Letters</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117,</w:t>
                        </w:r>
                        <w:r w:rsidRPr="00B82D75">
                          <w:rPr>
                            <w:rFonts w:ascii="Arial" w:eastAsia="Times New Roman" w:hAnsi="Arial" w:cs="Arial"/>
                            <w:color w:val="000000"/>
                            <w:sz w:val="21"/>
                            <w:szCs w:val="21"/>
                          </w:rPr>
                          <w:t> 93-99.</w:t>
                        </w:r>
                      </w:p>
                      <w:p w14:paraId="16515B07" w14:textId="77777777" w:rsidR="00B82D75" w:rsidRPr="00B82D75" w:rsidRDefault="00B82D75" w:rsidP="00B82D75">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Bao, J</w:t>
                        </w:r>
                        <w:r w:rsidRPr="00B82D75">
                          <w:rPr>
                            <w:rFonts w:ascii="Arial" w:eastAsia="Times New Roman" w:hAnsi="Arial" w:cs="Arial"/>
                            <w:color w:val="000000"/>
                            <w:sz w:val="21"/>
                            <w:szCs w:val="21"/>
                          </w:rPr>
                          <w:t>. &amp;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(2015).  Bayesian nonparametric multivariate ordinal regression. </w:t>
                        </w:r>
                        <w:r w:rsidRPr="00B82D75">
                          <w:rPr>
                            <w:rFonts w:ascii="Arial" w:eastAsia="Times New Roman" w:hAnsi="Arial" w:cs="Arial"/>
                            <w:i/>
                            <w:iCs/>
                            <w:color w:val="000000"/>
                            <w:sz w:val="21"/>
                            <w:szCs w:val="21"/>
                          </w:rPr>
                          <w:t>Canadian Journal of Statistics</w:t>
                        </w:r>
                        <w:r w:rsidRPr="00B82D75">
                          <w:rPr>
                            <w:rFonts w:ascii="Arial" w:eastAsia="Times New Roman" w:hAnsi="Arial" w:cs="Arial"/>
                            <w:color w:val="000000"/>
                            <w:sz w:val="21"/>
                            <w:szCs w:val="21"/>
                          </w:rPr>
                          <w:t>, 43, 337-357.</w:t>
                        </w:r>
                      </w:p>
                      <w:p w14:paraId="4A1DD58A" w14:textId="77777777" w:rsidR="00B82D75" w:rsidRPr="00B82D75" w:rsidRDefault="00B82D75" w:rsidP="00B82D75">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Bao, J., Hanson, T.,</w:t>
                        </w:r>
                        <w:r w:rsidRPr="00B82D75">
                          <w:rPr>
                            <w:rFonts w:ascii="Arial" w:eastAsia="Times New Roman" w:hAnsi="Arial" w:cs="Arial"/>
                            <w:color w:val="000000"/>
                            <w:sz w:val="21"/>
                            <w:szCs w:val="21"/>
                          </w:rPr>
                          <w:t> McMillan, G., and Knight, K. Assessment of DPOAE test-retest difference curves via hierarchical Gaussian processes. </w:t>
                        </w:r>
                        <w:r w:rsidRPr="00B82D75">
                          <w:rPr>
                            <w:rFonts w:ascii="Arial" w:eastAsia="Times New Roman" w:hAnsi="Arial" w:cs="Arial"/>
                            <w:i/>
                            <w:iCs/>
                            <w:color w:val="000000"/>
                            <w:sz w:val="21"/>
                            <w:szCs w:val="21"/>
                          </w:rPr>
                          <w:t>Biometrics</w:t>
                        </w:r>
                        <w:r w:rsidRPr="00B82D75">
                          <w:rPr>
                            <w:rFonts w:ascii="Arial" w:eastAsia="Times New Roman" w:hAnsi="Arial" w:cs="Arial"/>
                            <w:color w:val="000000"/>
                            <w:sz w:val="21"/>
                            <w:szCs w:val="21"/>
                          </w:rPr>
                          <w:t>, accepted.</w:t>
                        </w:r>
                      </w:p>
                      <w:p w14:paraId="7595D93C"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Wen Cheng (2014)</w:t>
                        </w:r>
                      </w:p>
                      <w:p w14:paraId="10BBC54A" w14:textId="77777777" w:rsidR="00B82D75" w:rsidRPr="00B82D75" w:rsidRDefault="00B82D75" w:rsidP="00B82D75">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Cheng, W</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Dryden, I.</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Huang, X.</w:t>
                        </w:r>
                        <w:r w:rsidRPr="00B82D75">
                          <w:rPr>
                            <w:rFonts w:ascii="Arial" w:eastAsia="Times New Roman" w:hAnsi="Arial" w:cs="Arial"/>
                            <w:color w:val="000000"/>
                            <w:sz w:val="21"/>
                            <w:szCs w:val="21"/>
                          </w:rPr>
                          <w:t> (2016). Bayesian registration of functions and curves.  </w:t>
                        </w:r>
                        <w:r w:rsidRPr="00B82D75">
                          <w:rPr>
                            <w:rFonts w:ascii="Arial" w:eastAsia="Times New Roman" w:hAnsi="Arial" w:cs="Arial"/>
                            <w:i/>
                            <w:iCs/>
                            <w:color w:val="000000"/>
                            <w:sz w:val="21"/>
                            <w:szCs w:val="21"/>
                          </w:rPr>
                          <w:t>Bayesian Analysis </w:t>
                        </w:r>
                        <w:r w:rsidRPr="00B82D75">
                          <w:rPr>
                            <w:rFonts w:ascii="Arial" w:eastAsia="Times New Roman" w:hAnsi="Arial" w:cs="Arial"/>
                            <w:b/>
                            <w:bCs/>
                            <w:color w:val="000000"/>
                            <w:sz w:val="21"/>
                            <w:szCs w:val="21"/>
                          </w:rPr>
                          <w:t>11</w:t>
                        </w:r>
                        <w:r w:rsidRPr="00B82D75">
                          <w:rPr>
                            <w:rFonts w:ascii="Arial" w:eastAsia="Times New Roman" w:hAnsi="Arial" w:cs="Arial"/>
                            <w:color w:val="000000"/>
                            <w:sz w:val="21"/>
                            <w:szCs w:val="21"/>
                          </w:rPr>
                          <w:t>, 447-475.</w:t>
                        </w:r>
                      </w:p>
                      <w:p w14:paraId="0E8C7058" w14:textId="77777777" w:rsidR="00B82D75" w:rsidRPr="00B82D75" w:rsidRDefault="00B82D75" w:rsidP="00B82D75">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Cheng, W</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Dryden, I. L</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Hitchcock, D. B.</w:t>
                        </w:r>
                        <w:r w:rsidRPr="00B82D75">
                          <w:rPr>
                            <w:rFonts w:ascii="Arial" w:eastAsia="Times New Roman" w:hAnsi="Arial" w:cs="Arial"/>
                            <w:color w:val="000000"/>
                            <w:sz w:val="21"/>
                            <w:szCs w:val="21"/>
                          </w:rPr>
                          <w:t>, Le, H. (2014), "Analysis of spike train data: Classification and Bayesian alignment," </w:t>
                        </w:r>
                        <w:r w:rsidRPr="00B82D75">
                          <w:rPr>
                            <w:rFonts w:ascii="Arial" w:eastAsia="Times New Roman" w:hAnsi="Arial" w:cs="Arial"/>
                            <w:i/>
                            <w:iCs/>
                            <w:color w:val="000000"/>
                            <w:sz w:val="21"/>
                            <w:szCs w:val="21"/>
                          </w:rPr>
                          <w:t>Electronic Journal of Statistics</w:t>
                        </w:r>
                        <w:r w:rsidRPr="00B82D75">
                          <w:rPr>
                            <w:rFonts w:ascii="Arial" w:eastAsia="Times New Roman" w:hAnsi="Arial" w:cs="Arial"/>
                            <w:color w:val="000000"/>
                            <w:sz w:val="21"/>
                            <w:szCs w:val="21"/>
                          </w:rPr>
                          <w:t>, 8, No. 2, 1786-1792.</w:t>
                        </w:r>
                      </w:p>
                      <w:p w14:paraId="3CBE85E2" w14:textId="77777777" w:rsidR="00B82D75" w:rsidRPr="00B82D75" w:rsidRDefault="00B82D75" w:rsidP="00B82D75">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Cheng, W</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Dryden, I. L</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Hitchcock, D. B.</w:t>
                        </w:r>
                        <w:r w:rsidRPr="00B82D75">
                          <w:rPr>
                            <w:rFonts w:ascii="Arial" w:eastAsia="Times New Roman" w:hAnsi="Arial" w:cs="Arial"/>
                            <w:color w:val="000000"/>
                            <w:sz w:val="21"/>
                            <w:szCs w:val="21"/>
                          </w:rPr>
                          <w:t>, Le, H. (2014), "Analysis of proteomics data: Bayesian alignment of functions," </w:t>
                        </w:r>
                        <w:r w:rsidRPr="00B82D75">
                          <w:rPr>
                            <w:rFonts w:ascii="Arial" w:eastAsia="Times New Roman" w:hAnsi="Arial" w:cs="Arial"/>
                            <w:i/>
                            <w:iCs/>
                            <w:color w:val="000000"/>
                            <w:sz w:val="21"/>
                            <w:szCs w:val="21"/>
                          </w:rPr>
                          <w:t>Electronic Journal of Statistics</w:t>
                        </w:r>
                        <w:r w:rsidRPr="00B82D75">
                          <w:rPr>
                            <w:rFonts w:ascii="Arial" w:eastAsia="Times New Roman" w:hAnsi="Arial" w:cs="Arial"/>
                            <w:color w:val="000000"/>
                            <w:sz w:val="21"/>
                            <w:szCs w:val="21"/>
                          </w:rPr>
                          <w:t>, 8, No. 2, 1734-1741.</w:t>
                        </w:r>
                      </w:p>
                      <w:p w14:paraId="7423057E" w14:textId="77777777" w:rsidR="00B82D75" w:rsidRPr="00B82D75" w:rsidRDefault="00B82D75" w:rsidP="00B82D75">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Cheng, W</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Dryden, I. L</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Hitchcock, D. B.</w:t>
                        </w:r>
                        <w:r w:rsidRPr="00B82D75">
                          <w:rPr>
                            <w:rFonts w:ascii="Arial" w:eastAsia="Times New Roman" w:hAnsi="Arial" w:cs="Arial"/>
                            <w:color w:val="000000"/>
                            <w:sz w:val="21"/>
                            <w:szCs w:val="21"/>
                          </w:rPr>
                          <w:t>, Le, H. (2014), "Analysis of AneuRisk65 data: internal carotid artery shape analysis," </w:t>
                        </w:r>
                        <w:r w:rsidRPr="00B82D75">
                          <w:rPr>
                            <w:rFonts w:ascii="Arial" w:eastAsia="Times New Roman" w:hAnsi="Arial" w:cs="Arial"/>
                            <w:i/>
                            <w:iCs/>
                            <w:color w:val="000000"/>
                            <w:sz w:val="21"/>
                            <w:szCs w:val="21"/>
                          </w:rPr>
                          <w:t>Electronic Journal of Statistics</w:t>
                        </w:r>
                        <w:r w:rsidRPr="00B82D75">
                          <w:rPr>
                            <w:rFonts w:ascii="Arial" w:eastAsia="Times New Roman" w:hAnsi="Arial" w:cs="Arial"/>
                            <w:color w:val="000000"/>
                            <w:sz w:val="21"/>
                            <w:szCs w:val="21"/>
                          </w:rPr>
                          <w:t>, 8, No. 2, 1905-1913.</w:t>
                        </w:r>
                      </w:p>
                      <w:p w14:paraId="7E969D2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William </w:t>
                        </w:r>
                        <w:proofErr w:type="spellStart"/>
                        <w:r w:rsidRPr="00B82D75">
                          <w:rPr>
                            <w:rFonts w:ascii="Arial" w:eastAsia="Times New Roman" w:hAnsi="Arial" w:cs="Arial"/>
                            <w:color w:val="000000"/>
                            <w:sz w:val="21"/>
                            <w:szCs w:val="21"/>
                          </w:rPr>
                          <w:t>Cipoli</w:t>
                        </w:r>
                        <w:proofErr w:type="spellEnd"/>
                        <w:r w:rsidRPr="00B82D75">
                          <w:rPr>
                            <w:rFonts w:ascii="Arial" w:eastAsia="Times New Roman" w:hAnsi="Arial" w:cs="Arial"/>
                            <w:color w:val="000000"/>
                            <w:sz w:val="21"/>
                            <w:szCs w:val="21"/>
                          </w:rPr>
                          <w:t xml:space="preserve"> (2016)</w:t>
                        </w:r>
                      </w:p>
                      <w:p w14:paraId="73187820" w14:textId="77777777" w:rsidR="00B82D75" w:rsidRPr="00B82D75" w:rsidRDefault="00B82D75" w:rsidP="00B82D75">
                        <w:pPr>
                          <w:framePr w:hSpace="45" w:wrap="around" w:vAnchor="text" w:hAnchor="text"/>
                          <w:numPr>
                            <w:ilvl w:val="0"/>
                            <w:numId w:val="4"/>
                          </w:numPr>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b/>
                            <w:bCs/>
                            <w:color w:val="000000"/>
                            <w:sz w:val="21"/>
                            <w:szCs w:val="21"/>
                          </w:rPr>
                          <w:t>Cipolli</w:t>
                        </w:r>
                        <w:proofErr w:type="spellEnd"/>
                        <w:r w:rsidRPr="00B82D75">
                          <w:rPr>
                            <w:rFonts w:ascii="Arial" w:eastAsia="Times New Roman" w:hAnsi="Arial" w:cs="Arial"/>
                            <w:b/>
                            <w:bCs/>
                            <w:color w:val="000000"/>
                            <w:sz w:val="21"/>
                            <w:szCs w:val="21"/>
                          </w:rPr>
                          <w:t>, W</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and McLain, A. (2016). Bayesian nonparametric multiple testing. </w:t>
                        </w:r>
                        <w:r w:rsidRPr="00B82D75">
                          <w:rPr>
                            <w:rFonts w:ascii="Arial" w:eastAsia="Times New Roman" w:hAnsi="Arial" w:cs="Arial"/>
                            <w:i/>
                            <w:iCs/>
                            <w:color w:val="000000"/>
                            <w:sz w:val="21"/>
                            <w:szCs w:val="21"/>
                          </w:rPr>
                          <w:t>Computational Statistics &amp; Data Analysis, </w:t>
                        </w:r>
                        <w:r w:rsidRPr="00B82D75">
                          <w:rPr>
                            <w:rFonts w:ascii="Arial" w:eastAsia="Times New Roman" w:hAnsi="Arial" w:cs="Arial"/>
                            <w:b/>
                            <w:bCs/>
                            <w:color w:val="000000"/>
                            <w:sz w:val="21"/>
                            <w:szCs w:val="21"/>
                          </w:rPr>
                          <w:t>101</w:t>
                        </w:r>
                        <w:r w:rsidRPr="00B82D75">
                          <w:rPr>
                            <w:rFonts w:ascii="Arial" w:eastAsia="Times New Roman" w:hAnsi="Arial" w:cs="Arial"/>
                            <w:color w:val="000000"/>
                            <w:sz w:val="21"/>
                            <w:szCs w:val="21"/>
                          </w:rPr>
                          <w:t>, 64-79.</w:t>
                        </w:r>
                      </w:p>
                      <w:p w14:paraId="0CC5470F" w14:textId="77777777" w:rsidR="00B82D75" w:rsidRPr="00B82D75" w:rsidRDefault="00B82D75" w:rsidP="00B82D75">
                        <w:pPr>
                          <w:framePr w:hSpace="45" w:wrap="around" w:vAnchor="text" w:hAnchor="text"/>
                          <w:numPr>
                            <w:ilvl w:val="0"/>
                            <w:numId w:val="4"/>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Fowler, J., </w:t>
                        </w:r>
                        <w:proofErr w:type="spellStart"/>
                        <w:r w:rsidRPr="00B82D75">
                          <w:rPr>
                            <w:rFonts w:ascii="Arial" w:eastAsia="Times New Roman" w:hAnsi="Arial" w:cs="Arial"/>
                            <w:b/>
                            <w:bCs/>
                            <w:color w:val="000000"/>
                            <w:sz w:val="21"/>
                            <w:szCs w:val="21"/>
                          </w:rPr>
                          <w:t>Cipolli</w:t>
                        </w:r>
                        <w:proofErr w:type="spellEnd"/>
                        <w:r w:rsidRPr="00B82D75">
                          <w:rPr>
                            <w:rFonts w:ascii="Arial" w:eastAsia="Times New Roman" w:hAnsi="Arial" w:cs="Arial"/>
                            <w:b/>
                            <w:bCs/>
                            <w:color w:val="000000"/>
                            <w:sz w:val="21"/>
                            <w:szCs w:val="21"/>
                          </w:rPr>
                          <w:t>, W</w:t>
                        </w:r>
                        <w:r w:rsidRPr="00B82D75">
                          <w:rPr>
                            <w:rFonts w:ascii="Arial" w:eastAsia="Times New Roman" w:hAnsi="Arial" w:cs="Arial"/>
                            <w:color w:val="000000"/>
                            <w:sz w:val="21"/>
                            <w:szCs w:val="21"/>
                          </w:rPr>
                          <w:t>., &amp;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(2015).  A comparison of three diagnostic tests for diagnosis of carpal tunnel syndrome using latent class analysis.  </w:t>
                        </w:r>
                        <w:r w:rsidRPr="00B82D75">
                          <w:rPr>
                            <w:rFonts w:ascii="Arial" w:eastAsia="Times New Roman" w:hAnsi="Arial" w:cs="Arial"/>
                            <w:i/>
                            <w:iCs/>
                            <w:color w:val="000000"/>
                            <w:sz w:val="21"/>
                            <w:szCs w:val="21"/>
                          </w:rPr>
                          <w:t>Journal of Bone &amp; Joint Surgery</w:t>
                        </w:r>
                        <w:r w:rsidRPr="00B82D75">
                          <w:rPr>
                            <w:rFonts w:ascii="Arial" w:eastAsia="Times New Roman" w:hAnsi="Arial" w:cs="Arial"/>
                            <w:color w:val="000000"/>
                            <w:sz w:val="21"/>
                            <w:szCs w:val="21"/>
                          </w:rPr>
                          <w:t>, 97, 1958-1961.</w:t>
                        </w:r>
                      </w:p>
                      <w:p w14:paraId="0743BF6D" w14:textId="77777777" w:rsidR="00B82D75" w:rsidRPr="00B82D75" w:rsidRDefault="00B82D75" w:rsidP="00B82D75">
                        <w:pPr>
                          <w:framePr w:hSpace="45" w:wrap="around" w:vAnchor="text" w:hAnchor="text"/>
                          <w:numPr>
                            <w:ilvl w:val="0"/>
                            <w:numId w:val="4"/>
                          </w:numPr>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b/>
                            <w:bCs/>
                            <w:color w:val="000000"/>
                            <w:sz w:val="21"/>
                            <w:szCs w:val="21"/>
                          </w:rPr>
                          <w:t>Cipolli</w:t>
                        </w:r>
                        <w:proofErr w:type="spellEnd"/>
                        <w:r w:rsidRPr="00B82D75">
                          <w:rPr>
                            <w:rFonts w:ascii="Arial" w:eastAsia="Times New Roman" w:hAnsi="Arial" w:cs="Arial"/>
                            <w:b/>
                            <w:bCs/>
                            <w:color w:val="000000"/>
                            <w:sz w:val="21"/>
                            <w:szCs w:val="21"/>
                          </w:rPr>
                          <w:t>, W.</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xml:space="preserve"> Computationally tractable approximate and smoothed </w:t>
                        </w:r>
                        <w:proofErr w:type="spellStart"/>
                        <w:r w:rsidRPr="00B82D75">
                          <w:rPr>
                            <w:rFonts w:ascii="Arial" w:eastAsia="Times New Roman" w:hAnsi="Arial" w:cs="Arial"/>
                            <w:color w:val="000000"/>
                            <w:sz w:val="21"/>
                            <w:szCs w:val="21"/>
                          </w:rPr>
                          <w:t>Polya</w:t>
                        </w:r>
                        <w:proofErr w:type="spellEnd"/>
                        <w:r w:rsidRPr="00B82D75">
                          <w:rPr>
                            <w:rFonts w:ascii="Arial" w:eastAsia="Times New Roman" w:hAnsi="Arial" w:cs="Arial"/>
                            <w:color w:val="000000"/>
                            <w:sz w:val="21"/>
                            <w:szCs w:val="21"/>
                          </w:rPr>
                          <w:t xml:space="preserve"> trees. </w:t>
                        </w:r>
                        <w:r w:rsidRPr="00B82D75">
                          <w:rPr>
                            <w:rFonts w:ascii="Arial" w:eastAsia="Times New Roman" w:hAnsi="Arial" w:cs="Arial"/>
                            <w:i/>
                            <w:iCs/>
                            <w:color w:val="000000"/>
                            <w:sz w:val="21"/>
                            <w:szCs w:val="21"/>
                          </w:rPr>
                          <w:t>Statistics and Computing</w:t>
                        </w:r>
                        <w:r w:rsidRPr="00B82D75">
                          <w:rPr>
                            <w:rFonts w:ascii="Arial" w:eastAsia="Times New Roman" w:hAnsi="Arial" w:cs="Arial"/>
                            <w:color w:val="000000"/>
                            <w:sz w:val="21"/>
                            <w:szCs w:val="21"/>
                          </w:rPr>
                          <w:t>, accepted.</w:t>
                        </w:r>
                      </w:p>
                      <w:p w14:paraId="4D137C2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Yin Fu (2015)</w:t>
                        </w:r>
                      </w:p>
                      <w:p w14:paraId="7F8FEAC4"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JeanMarie</w:t>
                        </w:r>
                        <w:proofErr w:type="spellEnd"/>
                        <w:r w:rsidRPr="00B82D75">
                          <w:rPr>
                            <w:rFonts w:ascii="Arial" w:eastAsia="Times New Roman" w:hAnsi="Arial" w:cs="Arial"/>
                            <w:color w:val="000000"/>
                            <w:sz w:val="21"/>
                            <w:szCs w:val="21"/>
                          </w:rPr>
                          <w:t xml:space="preserve"> Hendrickson (2014)</w:t>
                        </w:r>
                      </w:p>
                      <w:p w14:paraId="4F2E5D49"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Peijie</w:t>
                        </w:r>
                        <w:proofErr w:type="spellEnd"/>
                        <w:r w:rsidRPr="00B82D75">
                          <w:rPr>
                            <w:rFonts w:ascii="Arial" w:eastAsia="Times New Roman" w:hAnsi="Arial" w:cs="Arial"/>
                            <w:color w:val="000000"/>
                            <w:sz w:val="21"/>
                            <w:szCs w:val="21"/>
                          </w:rPr>
                          <w:t xml:space="preserve"> Hou (2017)</w:t>
                        </w:r>
                      </w:p>
                      <w:p w14:paraId="40BD8B91" w14:textId="77777777" w:rsidR="00B82D75" w:rsidRPr="00B82D75" w:rsidRDefault="00B82D75" w:rsidP="00B82D75">
                        <w:pPr>
                          <w:framePr w:hSpace="45" w:wrap="around" w:vAnchor="text" w:hAnchor="text"/>
                          <w:numPr>
                            <w:ilvl w:val="0"/>
                            <w:numId w:val="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 xml:space="preserve">Hou, P., </w:t>
                        </w:r>
                        <w:proofErr w:type="spellStart"/>
                        <w:r w:rsidRPr="00B82D75">
                          <w:rPr>
                            <w:rFonts w:ascii="Arial" w:eastAsia="Times New Roman" w:hAnsi="Arial" w:cs="Arial"/>
                            <w:b/>
                            <w:bCs/>
                            <w:color w:val="000000"/>
                            <w:sz w:val="21"/>
                            <w:szCs w:val="21"/>
                          </w:rPr>
                          <w:t>Tebbs</w:t>
                        </w:r>
                        <w:proofErr w:type="spellEnd"/>
                        <w:r w:rsidRPr="00B82D75">
                          <w:rPr>
                            <w:rFonts w:ascii="Arial" w:eastAsia="Times New Roman" w:hAnsi="Arial" w:cs="Arial"/>
                            <w:b/>
                            <w:bCs/>
                            <w:color w:val="000000"/>
                            <w:sz w:val="21"/>
                            <w:szCs w:val="21"/>
                          </w:rPr>
                          <w:t>, J.,</w:t>
                        </w:r>
                        <w:r w:rsidRPr="00B82D75">
                          <w:rPr>
                            <w:rFonts w:ascii="Arial" w:eastAsia="Times New Roman" w:hAnsi="Arial" w:cs="Arial"/>
                            <w:color w:val="000000"/>
                            <w:sz w:val="21"/>
                            <w:szCs w:val="21"/>
                          </w:rPr>
                          <w:t> </w:t>
                        </w:r>
                        <w:proofErr w:type="spellStart"/>
                        <w:r w:rsidRPr="00B82D75">
                          <w:rPr>
                            <w:rFonts w:ascii="Arial" w:eastAsia="Times New Roman" w:hAnsi="Arial" w:cs="Arial"/>
                            <w:color w:val="000000"/>
                            <w:sz w:val="21"/>
                            <w:szCs w:val="21"/>
                          </w:rPr>
                          <w:t>Bilder</w:t>
                        </w:r>
                        <w:proofErr w:type="spellEnd"/>
                        <w:r w:rsidRPr="00B82D75">
                          <w:rPr>
                            <w:rFonts w:ascii="Arial" w:eastAsia="Times New Roman" w:hAnsi="Arial" w:cs="Arial"/>
                            <w:color w:val="000000"/>
                            <w:sz w:val="21"/>
                            <w:szCs w:val="21"/>
                          </w:rPr>
                          <w:t>, C., and McMahan, C. (2017). Hierarchical group testing for multiple infections. </w:t>
                        </w:r>
                        <w:r w:rsidRPr="00B82D75">
                          <w:rPr>
                            <w:rFonts w:ascii="Arial" w:eastAsia="Times New Roman" w:hAnsi="Arial" w:cs="Arial"/>
                            <w:i/>
                            <w:iCs/>
                            <w:color w:val="000000"/>
                            <w:sz w:val="21"/>
                            <w:szCs w:val="21"/>
                          </w:rPr>
                          <w:t>Biometrics</w:t>
                        </w:r>
                        <w:r w:rsidRPr="00B82D75">
                          <w:rPr>
                            <w:rFonts w:ascii="Arial" w:eastAsia="Times New Roman" w:hAnsi="Arial" w:cs="Arial"/>
                            <w:color w:val="000000"/>
                            <w:sz w:val="21"/>
                            <w:szCs w:val="21"/>
                          </w:rPr>
                          <w:t>, in press.</w:t>
                        </w:r>
                      </w:p>
                      <w:p w14:paraId="42A00F8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Bereket </w:t>
                        </w:r>
                        <w:proofErr w:type="spellStart"/>
                        <w:r w:rsidRPr="00B82D75">
                          <w:rPr>
                            <w:rFonts w:ascii="Arial" w:eastAsia="Times New Roman" w:hAnsi="Arial" w:cs="Arial"/>
                            <w:color w:val="000000"/>
                            <w:sz w:val="21"/>
                            <w:szCs w:val="21"/>
                          </w:rPr>
                          <w:t>Kindo</w:t>
                        </w:r>
                        <w:proofErr w:type="spellEnd"/>
                        <w:r w:rsidRPr="00B82D75">
                          <w:rPr>
                            <w:rFonts w:ascii="Arial" w:eastAsia="Times New Roman" w:hAnsi="Arial" w:cs="Arial"/>
                            <w:color w:val="000000"/>
                            <w:sz w:val="21"/>
                            <w:szCs w:val="21"/>
                          </w:rPr>
                          <w:t xml:space="preserve"> (2016)</w:t>
                        </w:r>
                      </w:p>
                      <w:p w14:paraId="1181277B" w14:textId="77777777" w:rsidR="00B82D75" w:rsidRPr="00B82D75" w:rsidRDefault="00B82D75" w:rsidP="00B82D75">
                        <w:pPr>
                          <w:framePr w:hSpace="45" w:wrap="around" w:vAnchor="text" w:hAnchor="text"/>
                          <w:numPr>
                            <w:ilvl w:val="0"/>
                            <w:numId w:val="6"/>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 xml:space="preserve">Bereket </w:t>
                        </w:r>
                        <w:proofErr w:type="spellStart"/>
                        <w:r w:rsidRPr="00B82D75">
                          <w:rPr>
                            <w:rFonts w:ascii="Arial" w:eastAsia="Times New Roman" w:hAnsi="Arial" w:cs="Arial"/>
                            <w:b/>
                            <w:bCs/>
                            <w:color w:val="000000"/>
                            <w:sz w:val="21"/>
                            <w:szCs w:val="21"/>
                          </w:rPr>
                          <w:t>Kindo</w:t>
                        </w:r>
                        <w:proofErr w:type="spellEnd"/>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Hao Wang</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Edsel Peña</w:t>
                        </w:r>
                        <w:r w:rsidRPr="00B82D75">
                          <w:rPr>
                            <w:rFonts w:ascii="Arial" w:eastAsia="Times New Roman" w:hAnsi="Arial" w:cs="Arial"/>
                            <w:color w:val="000000"/>
                            <w:sz w:val="21"/>
                            <w:szCs w:val="21"/>
                          </w:rPr>
                          <w:t xml:space="preserve"> (2016). Multinomial </w:t>
                        </w:r>
                        <w:proofErr w:type="spellStart"/>
                        <w:r w:rsidRPr="00B82D75">
                          <w:rPr>
                            <w:rFonts w:ascii="Arial" w:eastAsia="Times New Roman" w:hAnsi="Arial" w:cs="Arial"/>
                            <w:color w:val="000000"/>
                            <w:sz w:val="21"/>
                            <w:szCs w:val="21"/>
                          </w:rPr>
                          <w:t>probit</w:t>
                        </w:r>
                        <w:proofErr w:type="spellEnd"/>
                        <w:r w:rsidRPr="00B82D75">
                          <w:rPr>
                            <w:rFonts w:ascii="Arial" w:eastAsia="Times New Roman" w:hAnsi="Arial" w:cs="Arial"/>
                            <w:color w:val="000000"/>
                            <w:sz w:val="21"/>
                            <w:szCs w:val="21"/>
                          </w:rPr>
                          <w:t xml:space="preserve"> Bayesian additive regression trees. </w:t>
                        </w:r>
                        <w:r w:rsidRPr="00B82D75">
                          <w:rPr>
                            <w:rFonts w:ascii="Arial" w:eastAsia="Times New Roman" w:hAnsi="Arial" w:cs="Arial"/>
                            <w:i/>
                            <w:iCs/>
                            <w:color w:val="000000"/>
                            <w:sz w:val="21"/>
                            <w:szCs w:val="21"/>
                          </w:rPr>
                          <w:t>Stat</w:t>
                        </w:r>
                        <w:r w:rsidRPr="00B82D75">
                          <w:rPr>
                            <w:rFonts w:ascii="Arial" w:eastAsia="Times New Roman" w:hAnsi="Arial" w:cs="Arial"/>
                            <w:color w:val="000000"/>
                            <w:sz w:val="21"/>
                            <w:szCs w:val="21"/>
                          </w:rPr>
                          <w:t>, 5, 119–131</w:t>
                        </w:r>
                      </w:p>
                      <w:p w14:paraId="22D46750" w14:textId="77777777" w:rsidR="00B82D75" w:rsidRPr="00B82D75" w:rsidRDefault="00B82D75" w:rsidP="00B82D75">
                        <w:pPr>
                          <w:framePr w:hSpace="45" w:wrap="around" w:vAnchor="text" w:hAnchor="text"/>
                          <w:numPr>
                            <w:ilvl w:val="0"/>
                            <w:numId w:val="6"/>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Peña, E.,</w:t>
                        </w:r>
                        <w:r w:rsidRPr="00B82D75">
                          <w:rPr>
                            <w:rFonts w:ascii="Arial" w:eastAsia="Times New Roman" w:hAnsi="Arial" w:cs="Arial"/>
                            <w:color w:val="000000"/>
                            <w:sz w:val="21"/>
                            <w:szCs w:val="21"/>
                          </w:rPr>
                          <w:t> Wu, W., </w:t>
                        </w:r>
                        <w:proofErr w:type="spellStart"/>
                        <w:r w:rsidRPr="00B82D75">
                          <w:rPr>
                            <w:rFonts w:ascii="Arial" w:eastAsia="Times New Roman" w:hAnsi="Arial" w:cs="Arial"/>
                            <w:b/>
                            <w:bCs/>
                            <w:color w:val="000000"/>
                            <w:sz w:val="21"/>
                            <w:szCs w:val="21"/>
                          </w:rPr>
                          <w:t>Kindo</w:t>
                        </w:r>
                        <w:proofErr w:type="spellEnd"/>
                        <w:r w:rsidRPr="00B82D75">
                          <w:rPr>
                            <w:rFonts w:ascii="Arial" w:eastAsia="Times New Roman" w:hAnsi="Arial" w:cs="Arial"/>
                            <w:b/>
                            <w:bCs/>
                            <w:color w:val="000000"/>
                            <w:sz w:val="21"/>
                            <w:szCs w:val="21"/>
                          </w:rPr>
                          <w:t>, B.,</w:t>
                        </w:r>
                        <w:r w:rsidRPr="00B82D75">
                          <w:rPr>
                            <w:rFonts w:ascii="Arial" w:eastAsia="Times New Roman" w:hAnsi="Arial" w:cs="Arial"/>
                            <w:color w:val="000000"/>
                            <w:sz w:val="21"/>
                            <w:szCs w:val="21"/>
                          </w:rPr>
                          <w:t> Hill, B., </w:t>
                        </w:r>
                        <w:r w:rsidRPr="00B82D75">
                          <w:rPr>
                            <w:rFonts w:ascii="Arial" w:eastAsia="Times New Roman" w:hAnsi="Arial" w:cs="Arial"/>
                            <w:b/>
                            <w:bCs/>
                            <w:color w:val="000000"/>
                            <w:sz w:val="21"/>
                            <w:szCs w:val="21"/>
                          </w:rPr>
                          <w:t>Rahman, F.,</w:t>
                        </w:r>
                        <w:r w:rsidRPr="00B82D75">
                          <w:rPr>
                            <w:rFonts w:ascii="Arial" w:eastAsia="Times New Roman" w:hAnsi="Arial" w:cs="Arial"/>
                            <w:color w:val="000000"/>
                            <w:sz w:val="21"/>
                            <w:szCs w:val="21"/>
                          </w:rPr>
                          <w:t> and Wanda, L. (2014). Multi-Group and Multi-Agent Binary Decision-Making. Under revision for </w:t>
                        </w:r>
                        <w:r w:rsidRPr="00B82D75">
                          <w:rPr>
                            <w:rFonts w:ascii="Arial" w:eastAsia="Times New Roman" w:hAnsi="Arial" w:cs="Arial"/>
                            <w:i/>
                            <w:iCs/>
                            <w:color w:val="000000"/>
                            <w:sz w:val="21"/>
                            <w:szCs w:val="21"/>
                          </w:rPr>
                          <w:t>Naval Logistics Quarterly</w:t>
                        </w:r>
                        <w:r w:rsidRPr="00B82D75">
                          <w:rPr>
                            <w:rFonts w:ascii="Arial" w:eastAsia="Times New Roman" w:hAnsi="Arial" w:cs="Arial"/>
                            <w:color w:val="000000"/>
                            <w:sz w:val="21"/>
                            <w:szCs w:val="21"/>
                          </w:rPr>
                          <w:t>.</w:t>
                        </w:r>
                      </w:p>
                      <w:p w14:paraId="498C226E"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Taeho</w:t>
                        </w:r>
                        <w:proofErr w:type="spellEnd"/>
                        <w:r w:rsidRPr="00B82D75">
                          <w:rPr>
                            <w:rFonts w:ascii="Arial" w:eastAsia="Times New Roman" w:hAnsi="Arial" w:cs="Arial"/>
                            <w:color w:val="000000"/>
                            <w:sz w:val="21"/>
                            <w:szCs w:val="21"/>
                          </w:rPr>
                          <w:t xml:space="preserve"> Kim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2011C2E9"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Han Lee (2016)</w:t>
                        </w:r>
                      </w:p>
                      <w:p w14:paraId="646F1C2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Li </w:t>
                        </w:r>
                        <w:proofErr w:type="spellStart"/>
                        <w:r w:rsidRPr="00B82D75">
                          <w:rPr>
                            <w:rFonts w:ascii="Arial" w:eastAsia="Times New Roman" w:hAnsi="Arial" w:cs="Arial"/>
                            <w:color w:val="000000"/>
                            <w:sz w:val="21"/>
                            <w:szCs w:val="21"/>
                          </w:rPr>
                          <w:t>Li</w:t>
                        </w:r>
                        <w:proofErr w:type="spellEnd"/>
                        <w:r w:rsidRPr="00B82D75">
                          <w:rPr>
                            <w:rFonts w:ascii="Arial" w:eastAsia="Times New Roman" w:hAnsi="Arial" w:cs="Arial"/>
                            <w:color w:val="000000"/>
                            <w:sz w:val="21"/>
                            <w:szCs w:val="21"/>
                          </w:rPr>
                          <w:t xml:space="preserve"> (2014)</w:t>
                        </w:r>
                      </w:p>
                      <w:p w14:paraId="159867F4" w14:textId="77777777" w:rsidR="00B82D75" w:rsidRPr="00B82D75" w:rsidRDefault="00B82D75" w:rsidP="00B82D75">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Li, L</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&amp; Zhang, J.  (2015).  Spatial extended hazard model with application to prostate cancer survival. </w:t>
                        </w:r>
                        <w:r w:rsidRPr="00B82D75">
                          <w:rPr>
                            <w:rFonts w:ascii="Arial" w:eastAsia="Times New Roman" w:hAnsi="Arial" w:cs="Arial"/>
                            <w:i/>
                            <w:iCs/>
                            <w:color w:val="000000"/>
                            <w:sz w:val="21"/>
                            <w:szCs w:val="21"/>
                          </w:rPr>
                          <w:t>Biometrics</w:t>
                        </w:r>
                        <w:r w:rsidRPr="00B82D75">
                          <w:rPr>
                            <w:rFonts w:ascii="Arial" w:eastAsia="Times New Roman" w:hAnsi="Arial" w:cs="Arial"/>
                            <w:color w:val="000000"/>
                            <w:sz w:val="21"/>
                            <w:szCs w:val="21"/>
                          </w:rPr>
                          <w:t>, 71, 313-322.</w:t>
                        </w:r>
                      </w:p>
                      <w:p w14:paraId="12D8B650" w14:textId="77777777" w:rsidR="00B82D75" w:rsidRPr="00B82D75" w:rsidRDefault="00B82D75" w:rsidP="00B82D75">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Li, L.,</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Damien, P., and Popova, E. (2014). A Bayesian nonparametric test for minimal repair. </w:t>
                        </w:r>
                        <w:proofErr w:type="spellStart"/>
                        <w:r w:rsidRPr="00B82D75">
                          <w:rPr>
                            <w:rFonts w:ascii="Arial" w:eastAsia="Times New Roman" w:hAnsi="Arial" w:cs="Arial"/>
                            <w:i/>
                            <w:iCs/>
                            <w:color w:val="000000"/>
                            <w:sz w:val="21"/>
                            <w:szCs w:val="21"/>
                          </w:rPr>
                          <w:t>Technometrics</w:t>
                        </w:r>
                        <w:proofErr w:type="spellEnd"/>
                        <w:r w:rsidRPr="00B82D75">
                          <w:rPr>
                            <w:rFonts w:ascii="Arial" w:eastAsia="Times New Roman" w:hAnsi="Arial" w:cs="Arial"/>
                            <w:color w:val="000000"/>
                            <w:sz w:val="21"/>
                            <w:szCs w:val="21"/>
                          </w:rPr>
                          <w:t>, 56, 393-406.</w:t>
                        </w:r>
                      </w:p>
                      <w:p w14:paraId="1ED6D728" w14:textId="77777777" w:rsidR="00B82D75" w:rsidRPr="00B82D75" w:rsidRDefault="00B82D75" w:rsidP="00B82D75">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Li, L.</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(2014). A Bayesian semiparametric regression model for reliability data using effective age. </w:t>
                        </w:r>
                        <w:r w:rsidRPr="00B82D75">
                          <w:rPr>
                            <w:rFonts w:ascii="Arial" w:eastAsia="Times New Roman" w:hAnsi="Arial" w:cs="Arial"/>
                            <w:i/>
                            <w:iCs/>
                            <w:color w:val="000000"/>
                            <w:sz w:val="21"/>
                            <w:szCs w:val="21"/>
                          </w:rPr>
                          <w:t>Computational Statistics and Data Analysis</w:t>
                        </w:r>
                        <w:r w:rsidRPr="00B82D75">
                          <w:rPr>
                            <w:rFonts w:ascii="Arial" w:eastAsia="Times New Roman" w:hAnsi="Arial" w:cs="Arial"/>
                            <w:color w:val="000000"/>
                            <w:sz w:val="21"/>
                            <w:szCs w:val="21"/>
                          </w:rPr>
                          <w:t>, 73, 177-188.</w:t>
                        </w:r>
                      </w:p>
                      <w:p w14:paraId="3308E6E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Xiang Li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77902AA6"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Yawei</w:t>
                        </w:r>
                        <w:proofErr w:type="spellEnd"/>
                        <w:r w:rsidRPr="00B82D75">
                          <w:rPr>
                            <w:rFonts w:ascii="Arial" w:eastAsia="Times New Roman" w:hAnsi="Arial" w:cs="Arial"/>
                            <w:color w:val="000000"/>
                            <w:sz w:val="21"/>
                            <w:szCs w:val="21"/>
                          </w:rPr>
                          <w:t xml:space="preserve"> </w:t>
                        </w:r>
                        <w:proofErr w:type="gramStart"/>
                        <w:r w:rsidRPr="00B82D75">
                          <w:rPr>
                            <w:rFonts w:ascii="Arial" w:eastAsia="Times New Roman" w:hAnsi="Arial" w:cs="Arial"/>
                            <w:color w:val="000000"/>
                            <w:sz w:val="21"/>
                            <w:szCs w:val="21"/>
                          </w:rPr>
                          <w:t>Liang  (</w:t>
                        </w:r>
                        <w:proofErr w:type="gramEnd"/>
                        <w:r w:rsidRPr="00B82D75">
                          <w:rPr>
                            <w:rFonts w:ascii="Arial" w:eastAsia="Times New Roman" w:hAnsi="Arial" w:cs="Arial"/>
                            <w:color w:val="000000"/>
                            <w:sz w:val="21"/>
                            <w:szCs w:val="21"/>
                          </w:rPr>
                          <w:t>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70C11B9C"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Juexin</w:t>
                        </w:r>
                        <w:proofErr w:type="spellEnd"/>
                        <w:r w:rsidRPr="00B82D75">
                          <w:rPr>
                            <w:rFonts w:ascii="Arial" w:eastAsia="Times New Roman" w:hAnsi="Arial" w:cs="Arial"/>
                            <w:color w:val="000000"/>
                            <w:sz w:val="21"/>
                            <w:szCs w:val="21"/>
                          </w:rPr>
                          <w:t xml:space="preserve"> Lin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3B4D32DF" w14:textId="77777777" w:rsidR="00B82D75" w:rsidRPr="00B82D75" w:rsidRDefault="00B82D75" w:rsidP="00B82D75">
                        <w:pPr>
                          <w:framePr w:hSpace="45" w:wrap="around" w:vAnchor="text" w:hAnchor="text"/>
                          <w:numPr>
                            <w:ilvl w:val="0"/>
                            <w:numId w:val="8"/>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Lin, J.</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Wang, D.</w:t>
                        </w:r>
                        <w:r w:rsidRPr="00B82D75">
                          <w:rPr>
                            <w:rFonts w:ascii="Arial" w:eastAsia="Times New Roman" w:hAnsi="Arial" w:cs="Arial"/>
                            <w:color w:val="000000"/>
                            <w:sz w:val="21"/>
                            <w:szCs w:val="21"/>
                          </w:rPr>
                          <w:t> (2016+) Single-index regression analysis of pooled biomarker assessments. </w:t>
                        </w:r>
                        <w:r w:rsidRPr="00B82D75">
                          <w:rPr>
                            <w:rFonts w:ascii="Arial" w:eastAsia="Times New Roman" w:hAnsi="Arial" w:cs="Arial"/>
                            <w:i/>
                            <w:iCs/>
                            <w:color w:val="000000"/>
                            <w:sz w:val="21"/>
                            <w:szCs w:val="21"/>
                          </w:rPr>
                          <w:t>Journal of Multivariate Analysis</w:t>
                        </w:r>
                        <w:r w:rsidRPr="00B82D75">
                          <w:rPr>
                            <w:rFonts w:ascii="Arial" w:eastAsia="Times New Roman" w:hAnsi="Arial" w:cs="Arial"/>
                            <w:color w:val="000000"/>
                            <w:sz w:val="21"/>
                            <w:szCs w:val="21"/>
                          </w:rPr>
                          <w:t>, under review.</w:t>
                        </w:r>
                      </w:p>
                      <w:p w14:paraId="1BA570F4"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Haigang</w:t>
                        </w:r>
                        <w:proofErr w:type="spellEnd"/>
                        <w:r w:rsidRPr="00B82D75">
                          <w:rPr>
                            <w:rFonts w:ascii="Arial" w:eastAsia="Times New Roman" w:hAnsi="Arial" w:cs="Arial"/>
                            <w:color w:val="000000"/>
                            <w:sz w:val="21"/>
                            <w:szCs w:val="21"/>
                          </w:rPr>
                          <w:t xml:space="preserve"> Liu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34EAEF3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Jianxuan</w:t>
                        </w:r>
                        <w:proofErr w:type="spellEnd"/>
                        <w:r w:rsidRPr="00B82D75">
                          <w:rPr>
                            <w:rFonts w:ascii="Arial" w:eastAsia="Times New Roman" w:hAnsi="Arial" w:cs="Arial"/>
                            <w:color w:val="000000"/>
                            <w:sz w:val="21"/>
                            <w:szCs w:val="21"/>
                          </w:rPr>
                          <w:t xml:space="preserve"> Liu (2017)</w:t>
                        </w:r>
                      </w:p>
                      <w:p w14:paraId="33E91CFA" w14:textId="77777777" w:rsidR="00B82D75" w:rsidRPr="00B82D75" w:rsidRDefault="00B82D75" w:rsidP="00B82D75">
                        <w:pPr>
                          <w:framePr w:hSpace="45" w:wrap="around" w:vAnchor="text" w:hAnchor="text"/>
                          <w:numPr>
                            <w:ilvl w:val="0"/>
                            <w:numId w:val="9"/>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Liu, </w:t>
                        </w:r>
                        <w:proofErr w:type="gramStart"/>
                        <w:r w:rsidRPr="00B82D75">
                          <w:rPr>
                            <w:rFonts w:ascii="Arial" w:eastAsia="Times New Roman" w:hAnsi="Arial" w:cs="Arial"/>
                            <w:color w:val="000000"/>
                            <w:sz w:val="21"/>
                            <w:szCs w:val="21"/>
                          </w:rPr>
                          <w:t>J. ,</w:t>
                        </w:r>
                        <w:proofErr w:type="gramEnd"/>
                        <w:r w:rsidRPr="00B82D75">
                          <w:rPr>
                            <w:rFonts w:ascii="Arial" w:eastAsia="Times New Roman" w:hAnsi="Arial" w:cs="Arial"/>
                            <w:color w:val="000000"/>
                            <w:sz w:val="21"/>
                            <w:szCs w:val="21"/>
                          </w:rPr>
                          <w:t xml:space="preserve"> Ma, Y., Zhu, L. and Carroll, R.J. (2017+). Estimation and inference of error-prone covariate effect in the presence of confounding variables, </w:t>
                        </w:r>
                        <w:r w:rsidRPr="00B82D75">
                          <w:rPr>
                            <w:rFonts w:ascii="Arial" w:eastAsia="Times New Roman" w:hAnsi="Arial" w:cs="Arial"/>
                            <w:i/>
                            <w:iCs/>
                            <w:color w:val="000000"/>
                            <w:sz w:val="21"/>
                            <w:szCs w:val="21"/>
                          </w:rPr>
                          <w:t>Electronic Journal of Statistics</w:t>
                        </w:r>
                        <w:r w:rsidRPr="00B82D75">
                          <w:rPr>
                            <w:rFonts w:ascii="Arial" w:eastAsia="Times New Roman" w:hAnsi="Arial" w:cs="Arial"/>
                            <w:color w:val="000000"/>
                            <w:sz w:val="21"/>
                            <w:szCs w:val="21"/>
                          </w:rPr>
                          <w:t> (in press).</w:t>
                        </w:r>
                      </w:p>
                      <w:p w14:paraId="11097B8A" w14:textId="77777777" w:rsidR="00B82D75" w:rsidRPr="00B82D75" w:rsidRDefault="00B82D75" w:rsidP="00B82D75">
                        <w:pPr>
                          <w:framePr w:hSpace="45" w:wrap="around" w:vAnchor="text" w:hAnchor="text"/>
                          <w:numPr>
                            <w:ilvl w:val="0"/>
                            <w:numId w:val="9"/>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Liu, J., Ma, Y. and Wang, L. (2016+). A new robust estimator of average treatment effect in causal inference. Under revision in </w:t>
                        </w:r>
                        <w:r w:rsidRPr="00B82D75">
                          <w:rPr>
                            <w:rFonts w:ascii="Arial" w:eastAsia="Times New Roman" w:hAnsi="Arial" w:cs="Arial"/>
                            <w:i/>
                            <w:iCs/>
                            <w:color w:val="000000"/>
                            <w:sz w:val="21"/>
                            <w:szCs w:val="21"/>
                          </w:rPr>
                          <w:t>Biometrics</w:t>
                        </w:r>
                        <w:r w:rsidRPr="00B82D75">
                          <w:rPr>
                            <w:rFonts w:ascii="Arial" w:eastAsia="Times New Roman" w:hAnsi="Arial" w:cs="Arial"/>
                            <w:color w:val="000000"/>
                            <w:sz w:val="21"/>
                            <w:szCs w:val="21"/>
                          </w:rPr>
                          <w:t>.</w:t>
                        </w:r>
                      </w:p>
                      <w:p w14:paraId="33D51302"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Piaomu</w:t>
                        </w:r>
                        <w:proofErr w:type="spellEnd"/>
                        <w:r w:rsidRPr="00B82D75">
                          <w:rPr>
                            <w:rFonts w:ascii="Arial" w:eastAsia="Times New Roman" w:hAnsi="Arial" w:cs="Arial"/>
                            <w:color w:val="000000"/>
                            <w:sz w:val="21"/>
                            <w:szCs w:val="21"/>
                          </w:rPr>
                          <w:t xml:space="preserve"> Liu (2016)</w:t>
                        </w:r>
                      </w:p>
                      <w:p w14:paraId="1046FE35" w14:textId="77777777" w:rsidR="00B82D75" w:rsidRPr="00B82D75" w:rsidRDefault="00B82D75" w:rsidP="00B82D75">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b/>
                            <w:bCs/>
                            <w:color w:val="000000"/>
                            <w:sz w:val="21"/>
                            <w:szCs w:val="21"/>
                          </w:rPr>
                          <w:t>Piaomu</w:t>
                        </w:r>
                        <w:proofErr w:type="spellEnd"/>
                        <w:r w:rsidRPr="00B82D75">
                          <w:rPr>
                            <w:rFonts w:ascii="Arial" w:eastAsia="Times New Roman" w:hAnsi="Arial" w:cs="Arial"/>
                            <w:b/>
                            <w:bCs/>
                            <w:color w:val="000000"/>
                            <w:sz w:val="21"/>
                            <w:szCs w:val="21"/>
                          </w:rPr>
                          <w:t xml:space="preserve"> Liu</w:t>
                        </w:r>
                        <w:r w:rsidRPr="00B82D75">
                          <w:rPr>
                            <w:rFonts w:ascii="Arial" w:eastAsia="Times New Roman" w:hAnsi="Arial" w:cs="Arial"/>
                            <w:color w:val="000000"/>
                            <w:sz w:val="21"/>
                            <w:szCs w:val="21"/>
                          </w:rPr>
                          <w:t> &amp; </w:t>
                        </w:r>
                        <w:r w:rsidRPr="00B82D75">
                          <w:rPr>
                            <w:rFonts w:ascii="Arial" w:eastAsia="Times New Roman" w:hAnsi="Arial" w:cs="Arial"/>
                            <w:b/>
                            <w:bCs/>
                            <w:color w:val="000000"/>
                            <w:sz w:val="21"/>
                            <w:szCs w:val="21"/>
                          </w:rPr>
                          <w:t>Edsel A. Peña</w:t>
                        </w:r>
                        <w:r w:rsidRPr="00B82D75">
                          <w:rPr>
                            <w:rFonts w:ascii="Arial" w:eastAsia="Times New Roman" w:hAnsi="Arial" w:cs="Arial"/>
                            <w:color w:val="000000"/>
                            <w:sz w:val="21"/>
                            <w:szCs w:val="21"/>
                          </w:rPr>
                          <w:t> (2016): Sojourning with the Homogeneous Poisson Process, </w:t>
                        </w:r>
                        <w:r w:rsidRPr="00B82D75">
                          <w:rPr>
                            <w:rFonts w:ascii="Arial" w:eastAsia="Times New Roman" w:hAnsi="Arial" w:cs="Arial"/>
                            <w:i/>
                            <w:iCs/>
                            <w:color w:val="000000"/>
                            <w:sz w:val="21"/>
                            <w:szCs w:val="21"/>
                          </w:rPr>
                          <w:t>The American Statistician</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70</w:t>
                        </w:r>
                        <w:r w:rsidRPr="00B82D75">
                          <w:rPr>
                            <w:rFonts w:ascii="Arial" w:eastAsia="Times New Roman" w:hAnsi="Arial" w:cs="Arial"/>
                            <w:color w:val="000000"/>
                            <w:sz w:val="21"/>
                            <w:szCs w:val="21"/>
                          </w:rPr>
                          <w:t>, pp. 413–423.</w:t>
                        </w:r>
                      </w:p>
                      <w:p w14:paraId="0E92FFDD" w14:textId="77777777" w:rsidR="00B82D75" w:rsidRPr="00B82D75" w:rsidRDefault="00B82D75" w:rsidP="00B82D75">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Watson, S., </w:t>
                        </w:r>
                        <w:r w:rsidRPr="00B82D75">
                          <w:rPr>
                            <w:rFonts w:ascii="Arial" w:eastAsia="Times New Roman" w:hAnsi="Arial" w:cs="Arial"/>
                            <w:b/>
                            <w:bCs/>
                            <w:color w:val="000000"/>
                            <w:sz w:val="21"/>
                            <w:szCs w:val="21"/>
                          </w:rPr>
                          <w:t>Liu, P., Peña, E.,</w:t>
                        </w:r>
                        <w:r w:rsidRPr="00B82D75">
                          <w:rPr>
                            <w:rFonts w:ascii="Arial" w:eastAsia="Times New Roman" w:hAnsi="Arial" w:cs="Arial"/>
                            <w:color w:val="000000"/>
                            <w:sz w:val="21"/>
                            <w:szCs w:val="21"/>
                          </w:rPr>
                          <w:t xml:space="preserve"> Sutton, M., Eberth, J., and </w:t>
                        </w:r>
                        <w:proofErr w:type="spellStart"/>
                        <w:r w:rsidRPr="00B82D75">
                          <w:rPr>
                            <w:rFonts w:ascii="Arial" w:eastAsia="Times New Roman" w:hAnsi="Arial" w:cs="Arial"/>
                            <w:color w:val="000000"/>
                            <w:sz w:val="21"/>
                            <w:szCs w:val="21"/>
                          </w:rPr>
                          <w:t>Lessner</w:t>
                        </w:r>
                        <w:proofErr w:type="spellEnd"/>
                        <w:r w:rsidRPr="00B82D75">
                          <w:rPr>
                            <w:rFonts w:ascii="Arial" w:eastAsia="Times New Roman" w:hAnsi="Arial" w:cs="Arial"/>
                            <w:color w:val="000000"/>
                            <w:sz w:val="21"/>
                            <w:szCs w:val="21"/>
                          </w:rPr>
                          <w:t>, S. (2016). Comparison of Aortic Collagen Fiber Angle Distribution in Mouse Models of Atherosclerosis Using Second-Harmonic Generation (SHG) Microscopy. </w:t>
                        </w:r>
                        <w:proofErr w:type="spellStart"/>
                        <w:r w:rsidRPr="00B82D75">
                          <w:rPr>
                            <w:rFonts w:ascii="Arial" w:eastAsia="Times New Roman" w:hAnsi="Arial" w:cs="Arial"/>
                            <w:i/>
                            <w:iCs/>
                            <w:color w:val="000000"/>
                            <w:sz w:val="21"/>
                            <w:szCs w:val="21"/>
                          </w:rPr>
                          <w:t>Microsc</w:t>
                        </w:r>
                        <w:proofErr w:type="spellEnd"/>
                        <w:r w:rsidRPr="00B82D75">
                          <w:rPr>
                            <w:rFonts w:ascii="Arial" w:eastAsia="Times New Roman" w:hAnsi="Arial" w:cs="Arial"/>
                            <w:i/>
                            <w:iCs/>
                            <w:color w:val="000000"/>
                            <w:sz w:val="21"/>
                            <w:szCs w:val="21"/>
                          </w:rPr>
                          <w:t xml:space="preserve">. and </w:t>
                        </w:r>
                        <w:proofErr w:type="spellStart"/>
                        <w:r w:rsidRPr="00B82D75">
                          <w:rPr>
                            <w:rFonts w:ascii="Arial" w:eastAsia="Times New Roman" w:hAnsi="Arial" w:cs="Arial"/>
                            <w:i/>
                            <w:iCs/>
                            <w:color w:val="000000"/>
                            <w:sz w:val="21"/>
                            <w:szCs w:val="21"/>
                          </w:rPr>
                          <w:t>Microanal</w:t>
                        </w:r>
                        <w:proofErr w:type="spellEnd"/>
                        <w:r w:rsidRPr="00B82D75">
                          <w:rPr>
                            <w:rFonts w:ascii="Arial" w:eastAsia="Times New Roman" w:hAnsi="Arial" w:cs="Arial"/>
                            <w:i/>
                            <w:iCs/>
                            <w:color w:val="000000"/>
                            <w:sz w:val="21"/>
                            <w:szCs w:val="21"/>
                          </w:rPr>
                          <w:t>.,</w:t>
                        </w:r>
                        <w:r w:rsidRPr="00B82D75">
                          <w:rPr>
                            <w:rFonts w:ascii="Arial" w:eastAsia="Times New Roman" w:hAnsi="Arial" w:cs="Arial"/>
                            <w:color w:val="000000"/>
                            <w:sz w:val="21"/>
                            <w:szCs w:val="21"/>
                          </w:rPr>
                          <w:t> 1-8.</w:t>
                        </w:r>
                      </w:p>
                      <w:p w14:paraId="386E7523" w14:textId="77777777" w:rsidR="00B82D75" w:rsidRPr="00B82D75" w:rsidRDefault="00B82D75" w:rsidP="00B82D75">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Liu, P.</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Peña, E. A. </w:t>
                        </w:r>
                        <w:r w:rsidRPr="00B82D75">
                          <w:rPr>
                            <w:rFonts w:ascii="Arial" w:eastAsia="Times New Roman" w:hAnsi="Arial" w:cs="Arial"/>
                            <w:color w:val="000000"/>
                            <w:sz w:val="21"/>
                            <w:szCs w:val="21"/>
                          </w:rPr>
                          <w:t>(2015). Dynamic Modeling &amp; Analysis of Recurrent Competing Risks and a Terminal Event. </w:t>
                        </w:r>
                        <w:r w:rsidRPr="00B82D75">
                          <w:rPr>
                            <w:rFonts w:ascii="Arial" w:eastAsia="Times New Roman" w:hAnsi="Arial" w:cs="Arial"/>
                            <w:i/>
                            <w:iCs/>
                            <w:color w:val="000000"/>
                            <w:sz w:val="21"/>
                            <w:szCs w:val="21"/>
                          </w:rPr>
                          <w:t>Statistical, Stochastic and Data Analysis Methods and Applications</w:t>
                        </w:r>
                        <w:r w:rsidRPr="00B82D75">
                          <w:rPr>
                            <w:rFonts w:ascii="Arial" w:eastAsia="Times New Roman" w:hAnsi="Arial" w:cs="Arial"/>
                            <w:color w:val="000000"/>
                            <w:sz w:val="21"/>
                            <w:szCs w:val="21"/>
                          </w:rPr>
                          <w:t xml:space="preserve">, Editors: Alex </w:t>
                        </w:r>
                        <w:proofErr w:type="spellStart"/>
                        <w:r w:rsidRPr="00B82D75">
                          <w:rPr>
                            <w:rFonts w:ascii="Arial" w:eastAsia="Times New Roman" w:hAnsi="Arial" w:cs="Arial"/>
                            <w:color w:val="000000"/>
                            <w:sz w:val="21"/>
                            <w:szCs w:val="21"/>
                          </w:rPr>
                          <w:t>Karagrigoriou</w:t>
                        </w:r>
                        <w:proofErr w:type="spellEnd"/>
                        <w:r w:rsidRPr="00B82D75">
                          <w:rPr>
                            <w:rFonts w:ascii="Arial" w:eastAsia="Times New Roman" w:hAnsi="Arial" w:cs="Arial"/>
                            <w:color w:val="000000"/>
                            <w:sz w:val="21"/>
                            <w:szCs w:val="21"/>
                          </w:rPr>
                          <w:t xml:space="preserve">, Teresa </w:t>
                        </w:r>
                        <w:proofErr w:type="spellStart"/>
                        <w:r w:rsidRPr="00B82D75">
                          <w:rPr>
                            <w:rFonts w:ascii="Arial" w:eastAsia="Times New Roman" w:hAnsi="Arial" w:cs="Arial"/>
                            <w:color w:val="000000"/>
                            <w:sz w:val="21"/>
                            <w:szCs w:val="21"/>
                          </w:rPr>
                          <w:lastRenderedPageBreak/>
                          <w:t>Oliviera</w:t>
                        </w:r>
                        <w:proofErr w:type="spellEnd"/>
                        <w:r w:rsidRPr="00B82D75">
                          <w:rPr>
                            <w:rFonts w:ascii="Arial" w:eastAsia="Times New Roman" w:hAnsi="Arial" w:cs="Arial"/>
                            <w:color w:val="000000"/>
                            <w:sz w:val="21"/>
                            <w:szCs w:val="21"/>
                          </w:rPr>
                          <w:t xml:space="preserve"> and Christos </w:t>
                        </w:r>
                        <w:proofErr w:type="spellStart"/>
                        <w:r w:rsidRPr="00B82D75">
                          <w:rPr>
                            <w:rFonts w:ascii="Arial" w:eastAsia="Times New Roman" w:hAnsi="Arial" w:cs="Arial"/>
                            <w:color w:val="000000"/>
                            <w:sz w:val="21"/>
                            <w:szCs w:val="21"/>
                          </w:rPr>
                          <w:t>Skiadis</w:t>
                        </w:r>
                        <w:proofErr w:type="spellEnd"/>
                        <w:r w:rsidRPr="00B82D75">
                          <w:rPr>
                            <w:rFonts w:ascii="Arial" w:eastAsia="Times New Roman" w:hAnsi="Arial" w:cs="Arial"/>
                            <w:color w:val="000000"/>
                            <w:sz w:val="21"/>
                            <w:szCs w:val="21"/>
                          </w:rPr>
                          <w:t>. ISAST: International Society for the Advancement of Science and Technology.</w:t>
                        </w:r>
                      </w:p>
                      <w:p w14:paraId="00908DDF" w14:textId="77777777" w:rsidR="00B82D75" w:rsidRPr="00B82D75" w:rsidRDefault="00B82D75" w:rsidP="00B82D75">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D. Oliver, H. Ji, </w:t>
                        </w:r>
                        <w:r w:rsidRPr="00B82D75">
                          <w:rPr>
                            <w:rFonts w:ascii="Arial" w:eastAsia="Times New Roman" w:hAnsi="Arial" w:cs="Arial"/>
                            <w:b/>
                            <w:bCs/>
                            <w:color w:val="000000"/>
                            <w:sz w:val="21"/>
                            <w:szCs w:val="21"/>
                          </w:rPr>
                          <w:t>P. Liu,</w:t>
                        </w:r>
                        <w:r w:rsidRPr="00B82D75">
                          <w:rPr>
                            <w:rFonts w:ascii="Arial" w:eastAsia="Times New Roman" w:hAnsi="Arial" w:cs="Arial"/>
                            <w:color w:val="000000"/>
                            <w:sz w:val="21"/>
                            <w:szCs w:val="21"/>
                          </w:rPr>
                          <w:t xml:space="preserve"> A. </w:t>
                        </w:r>
                        <w:proofErr w:type="spellStart"/>
                        <w:r w:rsidRPr="00B82D75">
                          <w:rPr>
                            <w:rFonts w:ascii="Arial" w:eastAsia="Times New Roman" w:hAnsi="Arial" w:cs="Arial"/>
                            <w:color w:val="000000"/>
                            <w:sz w:val="21"/>
                            <w:szCs w:val="21"/>
                          </w:rPr>
                          <w:t>Gasparian</w:t>
                        </w:r>
                        <w:proofErr w:type="spellEnd"/>
                        <w:r w:rsidRPr="00B82D75">
                          <w:rPr>
                            <w:rFonts w:ascii="Arial" w:eastAsia="Times New Roman" w:hAnsi="Arial" w:cs="Arial"/>
                            <w:color w:val="000000"/>
                            <w:sz w:val="21"/>
                            <w:szCs w:val="21"/>
                          </w:rPr>
                          <w:t xml:space="preserve">, E. Gardiner, S. Lee, A. </w:t>
                        </w:r>
                        <w:proofErr w:type="spellStart"/>
                        <w:r w:rsidRPr="00B82D75">
                          <w:rPr>
                            <w:rFonts w:ascii="Arial" w:eastAsia="Times New Roman" w:hAnsi="Arial" w:cs="Arial"/>
                            <w:color w:val="000000"/>
                            <w:sz w:val="21"/>
                            <w:szCs w:val="21"/>
                          </w:rPr>
                          <w:t>Zenteno</w:t>
                        </w:r>
                        <w:proofErr w:type="spellEnd"/>
                        <w:r w:rsidRPr="00B82D75">
                          <w:rPr>
                            <w:rFonts w:ascii="Arial" w:eastAsia="Times New Roman" w:hAnsi="Arial" w:cs="Arial"/>
                            <w:color w:val="000000"/>
                            <w:sz w:val="21"/>
                            <w:szCs w:val="21"/>
                          </w:rPr>
                          <w:t xml:space="preserve">, L. </w:t>
                        </w:r>
                        <w:proofErr w:type="spellStart"/>
                        <w:r w:rsidRPr="00B82D75">
                          <w:rPr>
                            <w:rFonts w:ascii="Arial" w:eastAsia="Times New Roman" w:hAnsi="Arial" w:cs="Arial"/>
                            <w:color w:val="000000"/>
                            <w:sz w:val="21"/>
                            <w:szCs w:val="21"/>
                          </w:rPr>
                          <w:t>Perynskaya</w:t>
                        </w:r>
                        <w:proofErr w:type="spellEnd"/>
                        <w:r w:rsidRPr="00B82D75">
                          <w:rPr>
                            <w:rFonts w:ascii="Arial" w:eastAsia="Times New Roman" w:hAnsi="Arial" w:cs="Arial"/>
                            <w:color w:val="000000"/>
                            <w:sz w:val="21"/>
                            <w:szCs w:val="21"/>
                          </w:rPr>
                          <w:t xml:space="preserve">, M. Chen, P. </w:t>
                        </w:r>
                        <w:proofErr w:type="spellStart"/>
                        <w:r w:rsidRPr="00B82D75">
                          <w:rPr>
                            <w:rFonts w:ascii="Arial" w:eastAsia="Times New Roman" w:hAnsi="Arial" w:cs="Arial"/>
                            <w:color w:val="000000"/>
                            <w:sz w:val="21"/>
                            <w:szCs w:val="21"/>
                          </w:rPr>
                          <w:t>Buckhaults</w:t>
                        </w:r>
                        <w:proofErr w:type="spellEnd"/>
                        <w:r w:rsidRPr="00B82D75">
                          <w:rPr>
                            <w:rFonts w:ascii="Arial" w:eastAsia="Times New Roman" w:hAnsi="Arial" w:cs="Arial"/>
                            <w:color w:val="000000"/>
                            <w:sz w:val="21"/>
                            <w:szCs w:val="21"/>
                          </w:rPr>
                          <w:t xml:space="preserve">, E. </w:t>
                        </w:r>
                        <w:proofErr w:type="spellStart"/>
                        <w:r w:rsidRPr="00B82D75">
                          <w:rPr>
                            <w:rFonts w:ascii="Arial" w:eastAsia="Times New Roman" w:hAnsi="Arial" w:cs="Arial"/>
                            <w:color w:val="000000"/>
                            <w:sz w:val="21"/>
                            <w:szCs w:val="21"/>
                          </w:rPr>
                          <w:t>Broude</w:t>
                        </w:r>
                        <w:proofErr w:type="spellEnd"/>
                        <w:r w:rsidRPr="00B82D75">
                          <w:rPr>
                            <w:rFonts w:ascii="Arial" w:eastAsia="Times New Roman" w:hAnsi="Arial" w:cs="Arial"/>
                            <w:color w:val="000000"/>
                            <w:sz w:val="21"/>
                            <w:szCs w:val="21"/>
                          </w:rPr>
                          <w:t xml:space="preserve">, M.D. Wyatt, H. </w:t>
                        </w:r>
                        <w:proofErr w:type="spellStart"/>
                        <w:r w:rsidRPr="00B82D75">
                          <w:rPr>
                            <w:rFonts w:ascii="Arial" w:eastAsia="Times New Roman" w:hAnsi="Arial" w:cs="Arial"/>
                            <w:color w:val="000000"/>
                            <w:sz w:val="21"/>
                            <w:szCs w:val="21"/>
                          </w:rPr>
                          <w:t>Valafar</w:t>
                        </w:r>
                        <w:proofErr w:type="spellEnd"/>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E. Peña</w:t>
                        </w:r>
                        <w:r w:rsidRPr="00B82D75">
                          <w:rPr>
                            <w:rFonts w:ascii="Arial" w:eastAsia="Times New Roman" w:hAnsi="Arial" w:cs="Arial"/>
                            <w:color w:val="000000"/>
                            <w:sz w:val="21"/>
                            <w:szCs w:val="21"/>
                          </w:rPr>
                          <w:t xml:space="preserve">, M. </w:t>
                        </w:r>
                        <w:proofErr w:type="spellStart"/>
                        <w:r w:rsidRPr="00B82D75">
                          <w:rPr>
                            <w:rFonts w:ascii="Arial" w:eastAsia="Times New Roman" w:hAnsi="Arial" w:cs="Arial"/>
                            <w:color w:val="000000"/>
                            <w:sz w:val="21"/>
                            <w:szCs w:val="21"/>
                          </w:rPr>
                          <w:t>Shtutman</w:t>
                        </w:r>
                        <w:proofErr w:type="spellEnd"/>
                        <w:r w:rsidRPr="00B82D75">
                          <w:rPr>
                            <w:rFonts w:ascii="Arial" w:eastAsia="Times New Roman" w:hAnsi="Arial" w:cs="Arial"/>
                            <w:color w:val="000000"/>
                            <w:sz w:val="21"/>
                            <w:szCs w:val="21"/>
                          </w:rPr>
                          <w:t xml:space="preserve"> (2016+). Identification of novel cancer therapeutic targets using a designed and pooled shRNA library screen. To appear in </w:t>
                        </w:r>
                        <w:r w:rsidRPr="00B82D75">
                          <w:rPr>
                            <w:rFonts w:ascii="Arial" w:eastAsia="Times New Roman" w:hAnsi="Arial" w:cs="Arial"/>
                            <w:i/>
                            <w:iCs/>
                            <w:color w:val="000000"/>
                            <w:sz w:val="21"/>
                            <w:szCs w:val="21"/>
                          </w:rPr>
                          <w:t>Scientific Reports</w:t>
                        </w:r>
                        <w:r w:rsidRPr="00B82D75">
                          <w:rPr>
                            <w:rFonts w:ascii="Arial" w:eastAsia="Times New Roman" w:hAnsi="Arial" w:cs="Arial"/>
                            <w:color w:val="000000"/>
                            <w:sz w:val="21"/>
                            <w:szCs w:val="21"/>
                          </w:rPr>
                          <w:t>.</w:t>
                        </w:r>
                      </w:p>
                      <w:p w14:paraId="449F426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Chong Ma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2CC46C6D" w14:textId="77777777" w:rsidR="00B82D75" w:rsidRPr="00B82D75" w:rsidRDefault="00B82D75" w:rsidP="00B82D75">
                        <w:pPr>
                          <w:framePr w:hSpace="45" w:wrap="around" w:vAnchor="text" w:hAnchor="text"/>
                          <w:numPr>
                            <w:ilvl w:val="0"/>
                            <w:numId w:val="11"/>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 xml:space="preserve">Chakraborty, P., Ma, C., </w:t>
                        </w:r>
                        <w:proofErr w:type="spellStart"/>
                        <w:r w:rsidRPr="00B82D75">
                          <w:rPr>
                            <w:rFonts w:ascii="Arial" w:eastAsia="Times New Roman" w:hAnsi="Arial" w:cs="Arial"/>
                            <w:b/>
                            <w:bCs/>
                            <w:color w:val="000000"/>
                            <w:sz w:val="21"/>
                            <w:szCs w:val="21"/>
                          </w:rPr>
                          <w:t>Grego</w:t>
                        </w:r>
                        <w:proofErr w:type="spellEnd"/>
                        <w:r w:rsidRPr="00B82D75">
                          <w:rPr>
                            <w:rFonts w:ascii="Arial" w:eastAsia="Times New Roman" w:hAnsi="Arial" w:cs="Arial"/>
                            <w:b/>
                            <w:bCs/>
                            <w:color w:val="000000"/>
                            <w:sz w:val="21"/>
                            <w:szCs w:val="21"/>
                          </w:rPr>
                          <w:t>, J.</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Lynch, J.</w:t>
                        </w:r>
                        <w:r w:rsidRPr="00B82D75">
                          <w:rPr>
                            <w:rFonts w:ascii="Arial" w:eastAsia="Times New Roman" w:hAnsi="Arial" w:cs="Arial"/>
                            <w:color w:val="000000"/>
                            <w:sz w:val="21"/>
                            <w:szCs w:val="21"/>
                          </w:rPr>
                          <w:t xml:space="preserve"> (2017+). A modified mixed model approach to the </w:t>
                        </w:r>
                        <w:proofErr w:type="gramStart"/>
                        <w:r w:rsidRPr="00B82D75">
                          <w:rPr>
                            <w:rFonts w:ascii="Arial" w:eastAsia="Times New Roman" w:hAnsi="Arial" w:cs="Arial"/>
                            <w:color w:val="000000"/>
                            <w:sz w:val="21"/>
                            <w:szCs w:val="21"/>
                          </w:rPr>
                          <w:t>large scale</w:t>
                        </w:r>
                        <w:proofErr w:type="gramEnd"/>
                        <w:r w:rsidRPr="00B82D75">
                          <w:rPr>
                            <w:rFonts w:ascii="Arial" w:eastAsia="Times New Roman" w:hAnsi="Arial" w:cs="Arial"/>
                            <w:color w:val="000000"/>
                            <w:sz w:val="21"/>
                            <w:szCs w:val="21"/>
                          </w:rPr>
                          <w:t xml:space="preserve"> multiple testing problem.  Submitted.</w:t>
                        </w:r>
                      </w:p>
                      <w:p w14:paraId="06805736"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Kaiwen</w:t>
                        </w:r>
                        <w:proofErr w:type="spellEnd"/>
                        <w:r w:rsidRPr="00B82D75">
                          <w:rPr>
                            <w:rFonts w:ascii="Arial" w:eastAsia="Times New Roman" w:hAnsi="Arial" w:cs="Arial"/>
                            <w:color w:val="000000"/>
                            <w:sz w:val="21"/>
                            <w:szCs w:val="21"/>
                          </w:rPr>
                          <w:t xml:space="preserve"> Mai (2016 ABD)</w:t>
                        </w:r>
                      </w:p>
                      <w:p w14:paraId="049E5C48" w14:textId="77777777" w:rsidR="00B82D75" w:rsidRPr="00B82D75" w:rsidRDefault="00B82D75" w:rsidP="00B82D75">
                        <w:pPr>
                          <w:framePr w:hSpace="45" w:wrap="around" w:vAnchor="text" w:hAnchor="text"/>
                          <w:numPr>
                            <w:ilvl w:val="0"/>
                            <w:numId w:val="12"/>
                          </w:numPr>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b/>
                            <w:bCs/>
                            <w:color w:val="000000"/>
                            <w:sz w:val="21"/>
                            <w:szCs w:val="21"/>
                          </w:rPr>
                          <w:t>Grego</w:t>
                        </w:r>
                        <w:proofErr w:type="spellEnd"/>
                        <w:r w:rsidRPr="00B82D75">
                          <w:rPr>
                            <w:rFonts w:ascii="Arial" w:eastAsia="Times New Roman" w:hAnsi="Arial" w:cs="Arial"/>
                            <w:b/>
                            <w:bCs/>
                            <w:color w:val="000000"/>
                            <w:sz w:val="21"/>
                            <w:szCs w:val="21"/>
                          </w:rPr>
                          <w:t>, J.M.</w:t>
                        </w:r>
                        <w:r w:rsidRPr="00B82D75">
                          <w:rPr>
                            <w:rFonts w:ascii="Arial" w:eastAsia="Times New Roman" w:hAnsi="Arial" w:cs="Arial"/>
                            <w:color w:val="000000"/>
                            <w:sz w:val="21"/>
                            <w:szCs w:val="21"/>
                          </w:rPr>
                          <w:t>, Yates, P.A. &amp; </w:t>
                        </w:r>
                        <w:r w:rsidRPr="00B82D75">
                          <w:rPr>
                            <w:rFonts w:ascii="Arial" w:eastAsia="Times New Roman" w:hAnsi="Arial" w:cs="Arial"/>
                            <w:b/>
                            <w:bCs/>
                            <w:color w:val="000000"/>
                            <w:sz w:val="21"/>
                            <w:szCs w:val="21"/>
                          </w:rPr>
                          <w:t>Mai, K.</w:t>
                        </w:r>
                        <w:r w:rsidRPr="00B82D75">
                          <w:rPr>
                            <w:rFonts w:ascii="Arial" w:eastAsia="Times New Roman" w:hAnsi="Arial" w:cs="Arial"/>
                            <w:color w:val="000000"/>
                            <w:sz w:val="21"/>
                            <w:szCs w:val="21"/>
                          </w:rPr>
                          <w:t xml:space="preserve"> (2015). "Standard error estimation for mixed flood distributions with historic maxima", </w:t>
                        </w:r>
                        <w:proofErr w:type="spellStart"/>
                        <w:r w:rsidRPr="00B82D75">
                          <w:rPr>
                            <w:rFonts w:ascii="Arial" w:eastAsia="Times New Roman" w:hAnsi="Arial" w:cs="Arial"/>
                            <w:color w:val="000000"/>
                            <w:sz w:val="21"/>
                            <w:szCs w:val="21"/>
                          </w:rPr>
                          <w:t>Environmetrics</w:t>
                        </w:r>
                        <w:proofErr w:type="spellEnd"/>
                        <w:r w:rsidRPr="00B82D75">
                          <w:rPr>
                            <w:rFonts w:ascii="Arial" w:eastAsia="Times New Roman" w:hAnsi="Arial" w:cs="Arial"/>
                            <w:color w:val="000000"/>
                            <w:sz w:val="21"/>
                            <w:szCs w:val="21"/>
                          </w:rPr>
                          <w:t>, 26(3), 229-242</w:t>
                        </w:r>
                      </w:p>
                      <w:p w14:paraId="4A46E955"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Xichen</w:t>
                        </w:r>
                        <w:proofErr w:type="spellEnd"/>
                        <w:r w:rsidRPr="00B82D75">
                          <w:rPr>
                            <w:rFonts w:ascii="Arial" w:eastAsia="Times New Roman" w:hAnsi="Arial" w:cs="Arial"/>
                            <w:color w:val="000000"/>
                            <w:sz w:val="21"/>
                            <w:szCs w:val="21"/>
                          </w:rPr>
                          <w:t xml:space="preserve"> </w:t>
                        </w:r>
                        <w:proofErr w:type="spellStart"/>
                        <w:r w:rsidRPr="00B82D75">
                          <w:rPr>
                            <w:rFonts w:ascii="Arial" w:eastAsia="Times New Roman" w:hAnsi="Arial" w:cs="Arial"/>
                            <w:color w:val="000000"/>
                            <w:sz w:val="21"/>
                            <w:szCs w:val="21"/>
                          </w:rPr>
                          <w:t>Mou</w:t>
                        </w:r>
                        <w:proofErr w:type="spellEnd"/>
                        <w:r w:rsidRPr="00B82D75">
                          <w:rPr>
                            <w:rFonts w:ascii="Arial" w:eastAsia="Times New Roman" w:hAnsi="Arial" w:cs="Arial"/>
                            <w:color w:val="000000"/>
                            <w:sz w:val="21"/>
                            <w:szCs w:val="21"/>
                          </w:rPr>
                          <w:t xml:space="preserve">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1D723E0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Beidi</w:t>
                        </w:r>
                        <w:proofErr w:type="spellEnd"/>
                        <w:r w:rsidRPr="00B82D75">
                          <w:rPr>
                            <w:rFonts w:ascii="Arial" w:eastAsia="Times New Roman" w:hAnsi="Arial" w:cs="Arial"/>
                            <w:color w:val="000000"/>
                            <w:sz w:val="21"/>
                            <w:szCs w:val="21"/>
                          </w:rPr>
                          <w:t xml:space="preserve"> </w:t>
                        </w:r>
                        <w:proofErr w:type="spellStart"/>
                        <w:r w:rsidRPr="00B82D75">
                          <w:rPr>
                            <w:rFonts w:ascii="Arial" w:eastAsia="Times New Roman" w:hAnsi="Arial" w:cs="Arial"/>
                            <w:color w:val="000000"/>
                            <w:sz w:val="21"/>
                            <w:szCs w:val="21"/>
                          </w:rPr>
                          <w:t>Qiang</w:t>
                        </w:r>
                        <w:proofErr w:type="spellEnd"/>
                        <w:r w:rsidRPr="00B82D75">
                          <w:rPr>
                            <w:rFonts w:ascii="Arial" w:eastAsia="Times New Roman" w:hAnsi="Arial" w:cs="Arial"/>
                            <w:color w:val="000000"/>
                            <w:sz w:val="21"/>
                            <w:szCs w:val="21"/>
                          </w:rPr>
                          <w:t xml:space="preserve"> (5</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42C2EF82" w14:textId="77777777" w:rsidR="00B82D75" w:rsidRPr="00B82D75" w:rsidRDefault="00B82D75" w:rsidP="00B82D75">
                        <w:pPr>
                          <w:framePr w:hSpace="45" w:wrap="around" w:vAnchor="text" w:hAnchor="text"/>
                          <w:numPr>
                            <w:ilvl w:val="0"/>
                            <w:numId w:val="13"/>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 xml:space="preserve">B. </w:t>
                        </w:r>
                        <w:proofErr w:type="spellStart"/>
                        <w:r w:rsidRPr="00B82D75">
                          <w:rPr>
                            <w:rFonts w:ascii="Arial" w:eastAsia="Times New Roman" w:hAnsi="Arial" w:cs="Arial"/>
                            <w:b/>
                            <w:bCs/>
                            <w:color w:val="000000"/>
                            <w:sz w:val="21"/>
                            <w:szCs w:val="21"/>
                          </w:rPr>
                          <w:t>Qiang</w:t>
                        </w:r>
                        <w:proofErr w:type="spellEnd"/>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E. A. Peña</w:t>
                        </w:r>
                        <w:r w:rsidRPr="00B82D75">
                          <w:rPr>
                            <w:rFonts w:ascii="Arial" w:eastAsia="Times New Roman" w:hAnsi="Arial" w:cs="Arial"/>
                            <w:color w:val="000000"/>
                            <w:sz w:val="21"/>
                            <w:szCs w:val="21"/>
                          </w:rPr>
                          <w:t xml:space="preserve"> (2016+). Improved Estimation of System Reliability with Application in Software Development. To appear in Analytic Methods in Systems and Software Testing. Ron S. </w:t>
                        </w:r>
                        <w:proofErr w:type="spellStart"/>
                        <w:r w:rsidRPr="00B82D75">
                          <w:rPr>
                            <w:rFonts w:ascii="Arial" w:eastAsia="Times New Roman" w:hAnsi="Arial" w:cs="Arial"/>
                            <w:color w:val="000000"/>
                            <w:sz w:val="21"/>
                            <w:szCs w:val="21"/>
                          </w:rPr>
                          <w:t>Kenett</w:t>
                        </w:r>
                        <w:proofErr w:type="spellEnd"/>
                        <w:r w:rsidRPr="00B82D75">
                          <w:rPr>
                            <w:rFonts w:ascii="Arial" w:eastAsia="Times New Roman" w:hAnsi="Arial" w:cs="Arial"/>
                            <w:color w:val="000000"/>
                            <w:sz w:val="21"/>
                            <w:szCs w:val="21"/>
                          </w:rPr>
                          <w:t xml:space="preserve">, Fabrizio Ruggeri and Frederick W. </w:t>
                        </w:r>
                        <w:proofErr w:type="spellStart"/>
                        <w:r w:rsidRPr="00B82D75">
                          <w:rPr>
                            <w:rFonts w:ascii="Arial" w:eastAsia="Times New Roman" w:hAnsi="Arial" w:cs="Arial"/>
                            <w:color w:val="000000"/>
                            <w:sz w:val="21"/>
                            <w:szCs w:val="21"/>
                          </w:rPr>
                          <w:t>Faltin</w:t>
                        </w:r>
                        <w:proofErr w:type="spellEnd"/>
                        <w:r w:rsidRPr="00B82D75">
                          <w:rPr>
                            <w:rFonts w:ascii="Arial" w:eastAsia="Times New Roman" w:hAnsi="Arial" w:cs="Arial"/>
                            <w:color w:val="000000"/>
                            <w:sz w:val="21"/>
                            <w:szCs w:val="21"/>
                          </w:rPr>
                          <w:t xml:space="preserve"> (eds). John Wiley &amp; Sons.</w:t>
                        </w:r>
                      </w:p>
                      <w:p w14:paraId="4B6B1AF4"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Yanlei</w:t>
                        </w:r>
                        <w:proofErr w:type="spellEnd"/>
                        <w:r w:rsidRPr="00B82D75">
                          <w:rPr>
                            <w:rFonts w:ascii="Arial" w:eastAsia="Times New Roman" w:hAnsi="Arial" w:cs="Arial"/>
                            <w:color w:val="000000"/>
                            <w:sz w:val="21"/>
                            <w:szCs w:val="21"/>
                          </w:rPr>
                          <w:t xml:space="preserve"> Peng (8</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66F5DC7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A.K.M. Rahman (2014)</w:t>
                        </w:r>
                      </w:p>
                      <w:p w14:paraId="01182C5C" w14:textId="77777777" w:rsidR="00B82D75" w:rsidRPr="00B82D75" w:rsidRDefault="00B82D75" w:rsidP="00B82D75">
                        <w:pPr>
                          <w:framePr w:hSpace="45" w:wrap="around" w:vAnchor="text" w:hAnchor="text"/>
                          <w:numPr>
                            <w:ilvl w:val="0"/>
                            <w:numId w:val="14"/>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AKM Fazlur Rahman</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James Lynch</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Edsel Peña</w:t>
                        </w:r>
                        <w:r w:rsidRPr="00B82D75">
                          <w:rPr>
                            <w:rFonts w:ascii="Arial" w:eastAsia="Times New Roman" w:hAnsi="Arial" w:cs="Arial"/>
                            <w:color w:val="000000"/>
                            <w:sz w:val="21"/>
                            <w:szCs w:val="21"/>
                          </w:rPr>
                          <w:t> (2014). Nonparametric estimation of gap-time distribution with recurrent event data. </w:t>
                        </w:r>
                        <w:r w:rsidRPr="00B82D75">
                          <w:rPr>
                            <w:rFonts w:ascii="Arial" w:eastAsia="Times New Roman" w:hAnsi="Arial" w:cs="Arial"/>
                            <w:i/>
                            <w:iCs/>
                            <w:color w:val="000000"/>
                            <w:sz w:val="21"/>
                            <w:szCs w:val="21"/>
                          </w:rPr>
                          <w:t>Journal of Nonparametric Statistics</w:t>
                        </w:r>
                        <w:r w:rsidRPr="00B82D75">
                          <w:rPr>
                            <w:rFonts w:ascii="Arial" w:eastAsia="Times New Roman" w:hAnsi="Arial" w:cs="Arial"/>
                            <w:color w:val="000000"/>
                            <w:sz w:val="21"/>
                            <w:szCs w:val="21"/>
                          </w:rPr>
                          <w:t>, 26, 575-598.</w:t>
                        </w:r>
                      </w:p>
                      <w:p w14:paraId="176A7873" w14:textId="77777777" w:rsidR="00B82D75" w:rsidRPr="00B82D75" w:rsidRDefault="00B82D75" w:rsidP="00B82D75">
                        <w:pPr>
                          <w:framePr w:hSpace="45" w:wrap="around" w:vAnchor="text" w:hAnchor="text"/>
                          <w:numPr>
                            <w:ilvl w:val="0"/>
                            <w:numId w:val="14"/>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Peña, E.,</w:t>
                        </w:r>
                        <w:r w:rsidRPr="00B82D75">
                          <w:rPr>
                            <w:rFonts w:ascii="Arial" w:eastAsia="Times New Roman" w:hAnsi="Arial" w:cs="Arial"/>
                            <w:color w:val="000000"/>
                            <w:sz w:val="21"/>
                            <w:szCs w:val="21"/>
                          </w:rPr>
                          <w:t> Wu, W., </w:t>
                        </w:r>
                        <w:proofErr w:type="spellStart"/>
                        <w:r w:rsidRPr="00B82D75">
                          <w:rPr>
                            <w:rFonts w:ascii="Arial" w:eastAsia="Times New Roman" w:hAnsi="Arial" w:cs="Arial"/>
                            <w:b/>
                            <w:bCs/>
                            <w:color w:val="000000"/>
                            <w:sz w:val="21"/>
                            <w:szCs w:val="21"/>
                          </w:rPr>
                          <w:t>Kindo</w:t>
                        </w:r>
                        <w:proofErr w:type="spellEnd"/>
                        <w:r w:rsidRPr="00B82D75">
                          <w:rPr>
                            <w:rFonts w:ascii="Arial" w:eastAsia="Times New Roman" w:hAnsi="Arial" w:cs="Arial"/>
                            <w:b/>
                            <w:bCs/>
                            <w:color w:val="000000"/>
                            <w:sz w:val="21"/>
                            <w:szCs w:val="21"/>
                          </w:rPr>
                          <w:t>, B.,</w:t>
                        </w:r>
                        <w:r w:rsidRPr="00B82D75">
                          <w:rPr>
                            <w:rFonts w:ascii="Arial" w:eastAsia="Times New Roman" w:hAnsi="Arial" w:cs="Arial"/>
                            <w:color w:val="000000"/>
                            <w:sz w:val="21"/>
                            <w:szCs w:val="21"/>
                          </w:rPr>
                          <w:t> Hill, B., </w:t>
                        </w:r>
                        <w:r w:rsidRPr="00B82D75">
                          <w:rPr>
                            <w:rFonts w:ascii="Arial" w:eastAsia="Times New Roman" w:hAnsi="Arial" w:cs="Arial"/>
                            <w:b/>
                            <w:bCs/>
                            <w:color w:val="000000"/>
                            <w:sz w:val="21"/>
                            <w:szCs w:val="21"/>
                          </w:rPr>
                          <w:t>Rahman, F.,</w:t>
                        </w:r>
                        <w:r w:rsidRPr="00B82D75">
                          <w:rPr>
                            <w:rFonts w:ascii="Arial" w:eastAsia="Times New Roman" w:hAnsi="Arial" w:cs="Arial"/>
                            <w:color w:val="000000"/>
                            <w:sz w:val="21"/>
                            <w:szCs w:val="21"/>
                          </w:rPr>
                          <w:t> and Wanda, L. (2014). Multi-Group and Multi-Agent Binary Decision-Making. Under revision for </w:t>
                        </w:r>
                        <w:r w:rsidRPr="00B82D75">
                          <w:rPr>
                            <w:rFonts w:ascii="Arial" w:eastAsia="Times New Roman" w:hAnsi="Arial" w:cs="Arial"/>
                            <w:i/>
                            <w:iCs/>
                            <w:color w:val="000000"/>
                            <w:sz w:val="21"/>
                            <w:szCs w:val="21"/>
                          </w:rPr>
                          <w:t>Naval Logistics Quarterly</w:t>
                        </w:r>
                        <w:r w:rsidRPr="00B82D75">
                          <w:rPr>
                            <w:rFonts w:ascii="Arial" w:eastAsia="Times New Roman" w:hAnsi="Arial" w:cs="Arial"/>
                            <w:color w:val="000000"/>
                            <w:sz w:val="21"/>
                            <w:szCs w:val="21"/>
                          </w:rPr>
                          <w:t>.</w:t>
                        </w:r>
                      </w:p>
                      <w:p w14:paraId="6A9BA200"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Yong Shan (2016 ABD)</w:t>
                        </w:r>
                      </w:p>
                      <w:p w14:paraId="6FA2D79D"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Shiwen</w:t>
                        </w:r>
                        <w:proofErr w:type="spellEnd"/>
                        <w:r w:rsidRPr="00B82D75">
                          <w:rPr>
                            <w:rFonts w:ascii="Arial" w:eastAsia="Times New Roman" w:hAnsi="Arial" w:cs="Arial"/>
                            <w:color w:val="000000"/>
                            <w:sz w:val="21"/>
                            <w:szCs w:val="21"/>
                          </w:rPr>
                          <w:t xml:space="preserve"> Shen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5536A310"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Chuan</w:t>
                        </w:r>
                        <w:proofErr w:type="spellEnd"/>
                        <w:r w:rsidRPr="00B82D75">
                          <w:rPr>
                            <w:rFonts w:ascii="Arial" w:eastAsia="Times New Roman" w:hAnsi="Arial" w:cs="Arial"/>
                            <w:color w:val="000000"/>
                            <w:sz w:val="21"/>
                            <w:szCs w:val="21"/>
                          </w:rPr>
                          <w:t>-fa Tang (6</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2C1A6E90" w14:textId="77777777" w:rsidR="00B82D75" w:rsidRPr="00B82D75" w:rsidRDefault="00B82D75" w:rsidP="00B82D75">
                        <w:pPr>
                          <w:framePr w:hSpace="45" w:wrap="around" w:vAnchor="text" w:hAnchor="text"/>
                          <w:numPr>
                            <w:ilvl w:val="0"/>
                            <w:numId w:val="1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Tang, C., Wang, D.,</w:t>
                        </w:r>
                        <w:r w:rsidRPr="00B82D75">
                          <w:rPr>
                            <w:rFonts w:ascii="Arial" w:eastAsia="Times New Roman" w:hAnsi="Arial" w:cs="Arial"/>
                            <w:color w:val="000000"/>
                            <w:sz w:val="21"/>
                            <w:szCs w:val="21"/>
                          </w:rPr>
                          <w:t> and </w:t>
                        </w:r>
                        <w:proofErr w:type="spellStart"/>
                        <w:r w:rsidRPr="00B82D75">
                          <w:rPr>
                            <w:rFonts w:ascii="Arial" w:eastAsia="Times New Roman" w:hAnsi="Arial" w:cs="Arial"/>
                            <w:b/>
                            <w:bCs/>
                            <w:color w:val="000000"/>
                            <w:sz w:val="21"/>
                            <w:szCs w:val="21"/>
                          </w:rPr>
                          <w:t>Tebbs</w:t>
                        </w:r>
                        <w:proofErr w:type="spellEnd"/>
                        <w:r w:rsidRPr="00B82D75">
                          <w:rPr>
                            <w:rFonts w:ascii="Arial" w:eastAsia="Times New Roman" w:hAnsi="Arial" w:cs="Arial"/>
                            <w:b/>
                            <w:bCs/>
                            <w:color w:val="000000"/>
                            <w:sz w:val="21"/>
                            <w:szCs w:val="21"/>
                          </w:rPr>
                          <w:t>, J. M.</w:t>
                        </w:r>
                        <w:r w:rsidRPr="00B82D75">
                          <w:rPr>
                            <w:rFonts w:ascii="Arial" w:eastAsia="Times New Roman" w:hAnsi="Arial" w:cs="Arial"/>
                            <w:color w:val="000000"/>
                            <w:sz w:val="21"/>
                            <w:szCs w:val="21"/>
                          </w:rPr>
                          <w:t> (2016+). Nonparametric goodness-of-fit tests for uniform stochastic ordering. </w:t>
                        </w:r>
                        <w:r w:rsidRPr="00B82D75">
                          <w:rPr>
                            <w:rFonts w:ascii="Arial" w:eastAsia="Times New Roman" w:hAnsi="Arial" w:cs="Arial"/>
                            <w:i/>
                            <w:iCs/>
                            <w:color w:val="000000"/>
                            <w:sz w:val="21"/>
                            <w:szCs w:val="21"/>
                          </w:rPr>
                          <w:t>Annals of Statistics</w:t>
                        </w:r>
                        <w:r w:rsidRPr="00B82D75">
                          <w:rPr>
                            <w:rFonts w:ascii="Arial" w:eastAsia="Times New Roman" w:hAnsi="Arial" w:cs="Arial"/>
                            <w:color w:val="000000"/>
                            <w:sz w:val="21"/>
                            <w:szCs w:val="21"/>
                          </w:rPr>
                          <w:t>, accepted.</w:t>
                        </w:r>
                      </w:p>
                      <w:p w14:paraId="0D10444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Jeff Thompson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441954CE"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lastRenderedPageBreak/>
                          <w:t>Jianhong</w:t>
                        </w:r>
                        <w:proofErr w:type="spellEnd"/>
                        <w:r w:rsidRPr="00B82D75">
                          <w:rPr>
                            <w:rFonts w:ascii="Arial" w:eastAsia="Times New Roman" w:hAnsi="Arial" w:cs="Arial"/>
                            <w:color w:val="000000"/>
                            <w:sz w:val="21"/>
                            <w:szCs w:val="21"/>
                          </w:rPr>
                          <w:t xml:space="preserve"> Wang (6</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1AD72EF7" w14:textId="77777777" w:rsidR="00B82D75" w:rsidRPr="00B82D75" w:rsidRDefault="00B82D75" w:rsidP="00B82D75">
                        <w:pPr>
                          <w:framePr w:hSpace="45" w:wrap="around" w:vAnchor="text" w:hAnchor="text"/>
                          <w:numPr>
                            <w:ilvl w:val="0"/>
                            <w:numId w:val="16"/>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J. Wang</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X. Lin</w:t>
                        </w:r>
                        <w:r w:rsidRPr="00B82D75">
                          <w:rPr>
                            <w:rFonts w:ascii="Arial" w:eastAsia="Times New Roman" w:hAnsi="Arial" w:cs="Arial"/>
                            <w:color w:val="000000"/>
                            <w:sz w:val="21"/>
                            <w:szCs w:val="21"/>
                          </w:rPr>
                          <w:t xml:space="preserve"> (2016+). </w:t>
                        </w:r>
                        <w:proofErr w:type="gramStart"/>
                        <w:r w:rsidRPr="00B82D75">
                          <w:rPr>
                            <w:rFonts w:ascii="Arial" w:eastAsia="Times New Roman" w:hAnsi="Arial" w:cs="Arial"/>
                            <w:color w:val="000000"/>
                            <w:sz w:val="21"/>
                            <w:szCs w:val="21"/>
                          </w:rPr>
                          <w:t>A Bayesian Approach for Semiparametric Regression Analysis of Panel Count Data,</w:t>
                        </w:r>
                        <w:proofErr w:type="gramEnd"/>
                        <w:r w:rsidRPr="00B82D75">
                          <w:rPr>
                            <w:rFonts w:ascii="Arial" w:eastAsia="Times New Roman" w:hAnsi="Arial" w:cs="Arial"/>
                            <w:color w:val="000000"/>
                            <w:sz w:val="21"/>
                            <w:szCs w:val="21"/>
                          </w:rPr>
                          <w:t xml:space="preserve"> submitted to </w:t>
                        </w:r>
                        <w:r w:rsidRPr="00B82D75">
                          <w:rPr>
                            <w:rFonts w:ascii="Arial" w:eastAsia="Times New Roman" w:hAnsi="Arial" w:cs="Arial"/>
                            <w:i/>
                            <w:iCs/>
                            <w:color w:val="000000"/>
                            <w:sz w:val="21"/>
                            <w:szCs w:val="21"/>
                          </w:rPr>
                          <w:t>Lifetime Data Analysis</w:t>
                        </w:r>
                        <w:r w:rsidRPr="00B82D75">
                          <w:rPr>
                            <w:rFonts w:ascii="Arial" w:eastAsia="Times New Roman" w:hAnsi="Arial" w:cs="Arial"/>
                            <w:color w:val="000000"/>
                            <w:sz w:val="21"/>
                            <w:szCs w:val="21"/>
                          </w:rPr>
                          <w:t>.</w:t>
                        </w:r>
                      </w:p>
                      <w:p w14:paraId="4C318230"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Lu Wang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225C37B7"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Qianqian Wang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46D23DDF" w14:textId="77777777" w:rsidR="00B82D75" w:rsidRPr="00B82D75" w:rsidRDefault="00B82D75" w:rsidP="00B82D75">
                        <w:pPr>
                          <w:framePr w:hSpace="45" w:wrap="around" w:vAnchor="text" w:hAnchor="text"/>
                          <w:numPr>
                            <w:ilvl w:val="0"/>
                            <w:numId w:val="17"/>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Wang, Q., Ma, Y.,</w:t>
                        </w:r>
                        <w:r w:rsidRPr="00B82D75">
                          <w:rPr>
                            <w:rFonts w:ascii="Arial" w:eastAsia="Times New Roman" w:hAnsi="Arial" w:cs="Arial"/>
                            <w:color w:val="000000"/>
                            <w:sz w:val="21"/>
                            <w:szCs w:val="21"/>
                          </w:rPr>
                          <w:t> Wang, Y. (2017+) “Predicting disease risk by transformation models in the presence of missing subgroup identifiers, </w:t>
                        </w:r>
                        <w:proofErr w:type="spellStart"/>
                        <w:r w:rsidRPr="00B82D75">
                          <w:rPr>
                            <w:rFonts w:ascii="Arial" w:eastAsia="Times New Roman" w:hAnsi="Arial" w:cs="Arial"/>
                            <w:i/>
                            <w:iCs/>
                            <w:color w:val="000000"/>
                            <w:sz w:val="21"/>
                            <w:szCs w:val="21"/>
                          </w:rPr>
                          <w:t>Statistica</w:t>
                        </w:r>
                        <w:proofErr w:type="spellEnd"/>
                        <w:r w:rsidRPr="00B82D75">
                          <w:rPr>
                            <w:rFonts w:ascii="Arial" w:eastAsia="Times New Roman" w:hAnsi="Arial" w:cs="Arial"/>
                            <w:i/>
                            <w:iCs/>
                            <w:color w:val="000000"/>
                            <w:sz w:val="21"/>
                            <w:szCs w:val="21"/>
                          </w:rPr>
                          <w:t xml:space="preserve"> </w:t>
                        </w:r>
                        <w:proofErr w:type="spellStart"/>
                        <w:r w:rsidRPr="00B82D75">
                          <w:rPr>
                            <w:rFonts w:ascii="Arial" w:eastAsia="Times New Roman" w:hAnsi="Arial" w:cs="Arial"/>
                            <w:i/>
                            <w:iCs/>
                            <w:color w:val="000000"/>
                            <w:sz w:val="21"/>
                            <w:szCs w:val="21"/>
                          </w:rPr>
                          <w:t>Sinica</w:t>
                        </w:r>
                        <w:proofErr w:type="spellEnd"/>
                        <w:r w:rsidRPr="00B82D75">
                          <w:rPr>
                            <w:rFonts w:ascii="Arial" w:eastAsia="Times New Roman" w:hAnsi="Arial" w:cs="Arial"/>
                            <w:color w:val="000000"/>
                            <w:sz w:val="21"/>
                            <w:szCs w:val="21"/>
                          </w:rPr>
                          <w:t> (in press).</w:t>
                        </w:r>
                      </w:p>
                      <w:p w14:paraId="0A9C7E6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Naichen</w:t>
                        </w:r>
                        <w:proofErr w:type="spellEnd"/>
                        <w:r w:rsidRPr="00B82D75">
                          <w:rPr>
                            <w:rFonts w:ascii="Arial" w:eastAsia="Times New Roman" w:hAnsi="Arial" w:cs="Arial"/>
                            <w:color w:val="000000"/>
                            <w:sz w:val="21"/>
                            <w:szCs w:val="21"/>
                          </w:rPr>
                          <w:t xml:space="preserve"> Wang (2015)</w:t>
                        </w:r>
                      </w:p>
                      <w:p w14:paraId="30AA594A" w14:textId="77777777" w:rsidR="00B82D75" w:rsidRPr="00B82D75" w:rsidRDefault="00B82D75" w:rsidP="00B82D75">
                        <w:pPr>
                          <w:framePr w:hSpace="45" w:wrap="around" w:vAnchor="text" w:hAnchor="text"/>
                          <w:numPr>
                            <w:ilvl w:val="0"/>
                            <w:numId w:val="18"/>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Wang, N.,</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Wang, L.</w:t>
                        </w:r>
                        <w:r w:rsidRPr="00B82D75">
                          <w:rPr>
                            <w:rFonts w:ascii="Arial" w:eastAsia="Times New Roman" w:hAnsi="Arial" w:cs="Arial"/>
                            <w:color w:val="000000"/>
                            <w:sz w:val="21"/>
                            <w:szCs w:val="21"/>
                          </w:rPr>
                          <w:t xml:space="preserve">, &amp; McMahan, C.  (2015).  Regression analysis of bivariate </w:t>
                        </w:r>
                        <w:proofErr w:type="gramStart"/>
                        <w:r w:rsidRPr="00B82D75">
                          <w:rPr>
                            <w:rFonts w:ascii="Arial" w:eastAsia="Times New Roman" w:hAnsi="Arial" w:cs="Arial"/>
                            <w:color w:val="000000"/>
                            <w:sz w:val="21"/>
                            <w:szCs w:val="21"/>
                          </w:rPr>
                          <w:t>current status</w:t>
                        </w:r>
                        <w:proofErr w:type="gramEnd"/>
                        <w:r w:rsidRPr="00B82D75">
                          <w:rPr>
                            <w:rFonts w:ascii="Arial" w:eastAsia="Times New Roman" w:hAnsi="Arial" w:cs="Arial"/>
                            <w:color w:val="000000"/>
                            <w:sz w:val="21"/>
                            <w:szCs w:val="21"/>
                          </w:rPr>
                          <w:t xml:space="preserve"> data under the Gamma-frailty proportional hazards model using the EM algorithm.  </w:t>
                        </w:r>
                        <w:r w:rsidRPr="00B82D75">
                          <w:rPr>
                            <w:rFonts w:ascii="Arial" w:eastAsia="Times New Roman" w:hAnsi="Arial" w:cs="Arial"/>
                            <w:i/>
                            <w:iCs/>
                            <w:color w:val="000000"/>
                            <w:sz w:val="21"/>
                            <w:szCs w:val="21"/>
                          </w:rPr>
                          <w:t>Computational Statistics and Data Analysis</w:t>
                        </w:r>
                        <w:r w:rsidRPr="00B82D75">
                          <w:rPr>
                            <w:rFonts w:ascii="Arial" w:eastAsia="Times New Roman" w:hAnsi="Arial" w:cs="Arial"/>
                            <w:color w:val="000000"/>
                            <w:sz w:val="21"/>
                            <w:szCs w:val="21"/>
                          </w:rPr>
                          <w:t>, 83, 140-150.</w:t>
                        </w:r>
                      </w:p>
                      <w:p w14:paraId="123028E1" w14:textId="77777777" w:rsidR="00B82D75" w:rsidRPr="00B82D75" w:rsidRDefault="00B82D75" w:rsidP="00B82D75">
                        <w:pPr>
                          <w:framePr w:hSpace="45" w:wrap="around" w:vAnchor="text" w:hAnchor="text"/>
                          <w:numPr>
                            <w:ilvl w:val="0"/>
                            <w:numId w:val="18"/>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N. Wang,</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L. Wang</w:t>
                        </w:r>
                        <w:r w:rsidRPr="00B82D75">
                          <w:rPr>
                            <w:rFonts w:ascii="Arial" w:eastAsia="Times New Roman" w:hAnsi="Arial" w:cs="Arial"/>
                            <w:color w:val="000000"/>
                            <w:sz w:val="21"/>
                            <w:szCs w:val="21"/>
                          </w:rPr>
                          <w:t>, and C. McMahan (2015). "Regression analysis of bivariate current status data under the Gamma-frailty proportional hazards model using the EM algorithm". </w:t>
                        </w:r>
                        <w:r w:rsidRPr="00B82D75">
                          <w:rPr>
                            <w:rFonts w:ascii="Arial" w:eastAsia="Times New Roman" w:hAnsi="Arial" w:cs="Arial"/>
                            <w:i/>
                            <w:iCs/>
                            <w:color w:val="000000"/>
                            <w:sz w:val="21"/>
                            <w:szCs w:val="21"/>
                          </w:rPr>
                          <w:t>Computational Statistics and Data Analysis</w:t>
                        </w:r>
                        <w:r w:rsidRPr="00B82D75">
                          <w:rPr>
                            <w:rFonts w:ascii="Arial" w:eastAsia="Times New Roman" w:hAnsi="Arial" w:cs="Arial"/>
                            <w:color w:val="000000"/>
                            <w:sz w:val="21"/>
                            <w:szCs w:val="21"/>
                          </w:rPr>
                          <w:t>, 83, 140-150.</w:t>
                        </w:r>
                      </w:p>
                      <w:p w14:paraId="5C9CEDA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Shamim Md </w:t>
                        </w:r>
                        <w:proofErr w:type="spellStart"/>
                        <w:r w:rsidRPr="00B82D75">
                          <w:rPr>
                            <w:rFonts w:ascii="Arial" w:eastAsia="Times New Roman" w:hAnsi="Arial" w:cs="Arial"/>
                            <w:color w:val="000000"/>
                            <w:sz w:val="21"/>
                            <w:szCs w:val="21"/>
                          </w:rPr>
                          <w:t>Warasi</w:t>
                        </w:r>
                        <w:proofErr w:type="spellEnd"/>
                        <w:r w:rsidRPr="00B82D75">
                          <w:rPr>
                            <w:rFonts w:ascii="Arial" w:eastAsia="Times New Roman" w:hAnsi="Arial" w:cs="Arial"/>
                            <w:color w:val="000000"/>
                            <w:sz w:val="21"/>
                            <w:szCs w:val="21"/>
                          </w:rPr>
                          <w:t xml:space="preserve"> (2016)</w:t>
                        </w:r>
                      </w:p>
                      <w:p w14:paraId="0B56A03A" w14:textId="77777777" w:rsidR="00B82D75" w:rsidRPr="00B82D75" w:rsidRDefault="00B82D75" w:rsidP="00B82D75">
                        <w:pPr>
                          <w:framePr w:hSpace="45" w:wrap="around" w:vAnchor="text" w:hAnchor="text"/>
                          <w:numPr>
                            <w:ilvl w:val="0"/>
                            <w:numId w:val="19"/>
                          </w:numPr>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b/>
                            <w:bCs/>
                            <w:color w:val="000000"/>
                            <w:sz w:val="21"/>
                            <w:szCs w:val="21"/>
                          </w:rPr>
                          <w:t>Warasi</w:t>
                        </w:r>
                        <w:proofErr w:type="spellEnd"/>
                        <w:r w:rsidRPr="00B82D75">
                          <w:rPr>
                            <w:rFonts w:ascii="Arial" w:eastAsia="Times New Roman" w:hAnsi="Arial" w:cs="Arial"/>
                            <w:b/>
                            <w:bCs/>
                            <w:color w:val="000000"/>
                            <w:sz w:val="21"/>
                            <w:szCs w:val="21"/>
                          </w:rPr>
                          <w:t>, M.,</w:t>
                        </w:r>
                        <w:r w:rsidRPr="00B82D75">
                          <w:rPr>
                            <w:rFonts w:ascii="Arial" w:eastAsia="Times New Roman" w:hAnsi="Arial" w:cs="Arial"/>
                            <w:color w:val="000000"/>
                            <w:sz w:val="21"/>
                            <w:szCs w:val="21"/>
                          </w:rPr>
                          <w:t> </w:t>
                        </w:r>
                        <w:proofErr w:type="spellStart"/>
                        <w:r w:rsidRPr="00B82D75">
                          <w:rPr>
                            <w:rFonts w:ascii="Arial" w:eastAsia="Times New Roman" w:hAnsi="Arial" w:cs="Arial"/>
                            <w:b/>
                            <w:bCs/>
                            <w:color w:val="000000"/>
                            <w:sz w:val="21"/>
                            <w:szCs w:val="21"/>
                          </w:rPr>
                          <w:t>Tebbs</w:t>
                        </w:r>
                        <w:proofErr w:type="spellEnd"/>
                        <w:r w:rsidRPr="00B82D75">
                          <w:rPr>
                            <w:rFonts w:ascii="Arial" w:eastAsia="Times New Roman" w:hAnsi="Arial" w:cs="Arial"/>
                            <w:b/>
                            <w:bCs/>
                            <w:color w:val="000000"/>
                            <w:sz w:val="21"/>
                            <w:szCs w:val="21"/>
                          </w:rPr>
                          <w:t>, J</w:t>
                        </w:r>
                        <w:r w:rsidRPr="00B82D75">
                          <w:rPr>
                            <w:rFonts w:ascii="Arial" w:eastAsia="Times New Roman" w:hAnsi="Arial" w:cs="Arial"/>
                            <w:color w:val="000000"/>
                            <w:sz w:val="21"/>
                            <w:szCs w:val="21"/>
                          </w:rPr>
                          <w:t xml:space="preserve">., McMahan, C., and </w:t>
                        </w:r>
                        <w:proofErr w:type="spellStart"/>
                        <w:r w:rsidRPr="00B82D75">
                          <w:rPr>
                            <w:rFonts w:ascii="Arial" w:eastAsia="Times New Roman" w:hAnsi="Arial" w:cs="Arial"/>
                            <w:color w:val="000000"/>
                            <w:sz w:val="21"/>
                            <w:szCs w:val="21"/>
                          </w:rPr>
                          <w:t>Bilder</w:t>
                        </w:r>
                        <w:proofErr w:type="spellEnd"/>
                        <w:r w:rsidRPr="00B82D75">
                          <w:rPr>
                            <w:rFonts w:ascii="Arial" w:eastAsia="Times New Roman" w:hAnsi="Arial" w:cs="Arial"/>
                            <w:color w:val="000000"/>
                            <w:sz w:val="21"/>
                            <w:szCs w:val="21"/>
                          </w:rPr>
                          <w:t>, C. (2016). Estimating the prevalence of multiple diseases from two-stage hierarchical pooling. </w:t>
                        </w:r>
                        <w:r w:rsidRPr="00B82D75">
                          <w:rPr>
                            <w:rFonts w:ascii="Arial" w:eastAsia="Times New Roman" w:hAnsi="Arial" w:cs="Arial"/>
                            <w:i/>
                            <w:iCs/>
                            <w:color w:val="000000"/>
                            <w:sz w:val="21"/>
                            <w:szCs w:val="21"/>
                          </w:rPr>
                          <w:t>Statistics in Medicine </w:t>
                        </w:r>
                        <w:r w:rsidRPr="00B82D75">
                          <w:rPr>
                            <w:rFonts w:ascii="Arial" w:eastAsia="Times New Roman" w:hAnsi="Arial" w:cs="Arial"/>
                            <w:b/>
                            <w:bCs/>
                            <w:color w:val="000000"/>
                            <w:sz w:val="21"/>
                            <w:szCs w:val="21"/>
                          </w:rPr>
                          <w:t>35</w:t>
                        </w:r>
                        <w:r w:rsidRPr="00B82D75">
                          <w:rPr>
                            <w:rFonts w:ascii="Arial" w:eastAsia="Times New Roman" w:hAnsi="Arial" w:cs="Arial"/>
                            <w:color w:val="000000"/>
                            <w:sz w:val="21"/>
                            <w:szCs w:val="21"/>
                          </w:rPr>
                          <w:t>, 3851-3864</w:t>
                        </w:r>
                      </w:p>
                      <w:p w14:paraId="154D8227" w14:textId="77777777" w:rsidR="00B82D75" w:rsidRPr="00B82D75" w:rsidRDefault="00B82D75" w:rsidP="00B82D75">
                        <w:pPr>
                          <w:framePr w:hSpace="45" w:wrap="around" w:vAnchor="text" w:hAnchor="text"/>
                          <w:numPr>
                            <w:ilvl w:val="0"/>
                            <w:numId w:val="19"/>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Huang, X</w:t>
                        </w:r>
                        <w:r w:rsidRPr="00B82D75">
                          <w:rPr>
                            <w:rFonts w:ascii="Arial" w:eastAsia="Times New Roman" w:hAnsi="Arial" w:cs="Arial"/>
                            <w:color w:val="000000"/>
                            <w:sz w:val="21"/>
                            <w:szCs w:val="21"/>
                          </w:rPr>
                          <w:t>. and </w:t>
                        </w:r>
                        <w:proofErr w:type="spellStart"/>
                        <w:r w:rsidRPr="00B82D75">
                          <w:rPr>
                            <w:rFonts w:ascii="Arial" w:eastAsia="Times New Roman" w:hAnsi="Arial" w:cs="Arial"/>
                            <w:b/>
                            <w:bCs/>
                            <w:color w:val="000000"/>
                            <w:sz w:val="21"/>
                            <w:szCs w:val="21"/>
                          </w:rPr>
                          <w:t>Warasi</w:t>
                        </w:r>
                        <w:proofErr w:type="spellEnd"/>
                        <w:r w:rsidRPr="00B82D75">
                          <w:rPr>
                            <w:rFonts w:ascii="Arial" w:eastAsia="Times New Roman" w:hAnsi="Arial" w:cs="Arial"/>
                            <w:b/>
                            <w:bCs/>
                            <w:color w:val="000000"/>
                            <w:sz w:val="21"/>
                            <w:szCs w:val="21"/>
                          </w:rPr>
                          <w:t>, M. </w:t>
                        </w:r>
                        <w:r w:rsidRPr="00B82D75">
                          <w:rPr>
                            <w:rFonts w:ascii="Arial" w:eastAsia="Times New Roman" w:hAnsi="Arial" w:cs="Arial"/>
                            <w:color w:val="000000"/>
                            <w:sz w:val="21"/>
                            <w:szCs w:val="21"/>
                          </w:rPr>
                          <w:t>(2016+). Maximum likelihood estimators in regression models for error-prone group testing data.</w:t>
                        </w:r>
                      </w:p>
                      <w:p w14:paraId="5986C4A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Yizheng</w:t>
                        </w:r>
                        <w:proofErr w:type="spellEnd"/>
                        <w:r w:rsidRPr="00B82D75">
                          <w:rPr>
                            <w:rFonts w:ascii="Arial" w:eastAsia="Times New Roman" w:hAnsi="Arial" w:cs="Arial"/>
                            <w:color w:val="000000"/>
                            <w:sz w:val="21"/>
                            <w:szCs w:val="21"/>
                          </w:rPr>
                          <w:t xml:space="preserve"> Wei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2233BE4C"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Haifeng Wu (2016)</w:t>
                        </w:r>
                      </w:p>
                      <w:p w14:paraId="36182BD9"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Zizhen</w:t>
                        </w:r>
                        <w:proofErr w:type="spellEnd"/>
                        <w:r w:rsidRPr="00B82D75">
                          <w:rPr>
                            <w:rFonts w:ascii="Arial" w:eastAsia="Times New Roman" w:hAnsi="Arial" w:cs="Arial"/>
                            <w:color w:val="000000"/>
                            <w:sz w:val="21"/>
                            <w:szCs w:val="21"/>
                          </w:rPr>
                          <w:t xml:space="preserve"> Wu (2016)</w:t>
                        </w:r>
                      </w:p>
                      <w:p w14:paraId="5856ED30" w14:textId="77777777" w:rsidR="00B82D75" w:rsidRPr="00B82D75" w:rsidRDefault="00B82D75" w:rsidP="00B82D75">
                        <w:pPr>
                          <w:framePr w:hSpace="45" w:wrap="around" w:vAnchor="text" w:hAnchor="text"/>
                          <w:numPr>
                            <w:ilvl w:val="0"/>
                            <w:numId w:val="20"/>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Wu, Z</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Hitchcock, D. B.</w:t>
                        </w:r>
                        <w:r w:rsidRPr="00B82D75">
                          <w:rPr>
                            <w:rFonts w:ascii="Arial" w:eastAsia="Times New Roman" w:hAnsi="Arial" w:cs="Arial"/>
                            <w:color w:val="000000"/>
                            <w:sz w:val="21"/>
                            <w:szCs w:val="21"/>
                          </w:rPr>
                          <w:t> (2016), "A Bayesian Method for Simultaneous Registration and Clustering of Functional Data," Computational Statistics and Data Analysis, 101, 121-136.</w:t>
                        </w:r>
                      </w:p>
                      <w:p w14:paraId="19D61D9C"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Bin Yao (2016)</w:t>
                        </w:r>
                      </w:p>
                      <w:p w14:paraId="463AB4FA" w14:textId="77777777" w:rsidR="00B82D75" w:rsidRPr="00B82D75" w:rsidRDefault="00B82D75" w:rsidP="00B82D75">
                        <w:pPr>
                          <w:framePr w:hSpace="45" w:wrap="around" w:vAnchor="text" w:hAnchor="text"/>
                          <w:numPr>
                            <w:ilvl w:val="0"/>
                            <w:numId w:val="21"/>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B. Yao,</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L. Wang</w:t>
                        </w:r>
                        <w:r w:rsidRPr="00B82D75">
                          <w:rPr>
                            <w:rFonts w:ascii="Arial" w:eastAsia="Times New Roman" w:hAnsi="Arial" w:cs="Arial"/>
                            <w:color w:val="000000"/>
                            <w:sz w:val="21"/>
                            <w:szCs w:val="21"/>
                          </w:rPr>
                          <w:t>, and X. He. (2016). "Semiparametric regression analysis of panel count data allowing for within-subject correlation". </w:t>
                        </w:r>
                        <w:r w:rsidRPr="00B82D75">
                          <w:rPr>
                            <w:rFonts w:ascii="Arial" w:eastAsia="Times New Roman" w:hAnsi="Arial" w:cs="Arial"/>
                            <w:i/>
                            <w:iCs/>
                            <w:color w:val="000000"/>
                            <w:sz w:val="21"/>
                            <w:szCs w:val="21"/>
                          </w:rPr>
                          <w:t>Computational Statistics and Data Analysis</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97</w:t>
                        </w:r>
                        <w:r w:rsidRPr="00B82D75">
                          <w:rPr>
                            <w:rFonts w:ascii="Arial" w:eastAsia="Times New Roman" w:hAnsi="Arial" w:cs="Arial"/>
                            <w:color w:val="000000"/>
                            <w:sz w:val="21"/>
                            <w:szCs w:val="21"/>
                          </w:rPr>
                          <w:t>, 47-59.</w:t>
                        </w:r>
                      </w:p>
                      <w:p w14:paraId="553DA35A" w14:textId="77777777" w:rsidR="00B82D75" w:rsidRPr="00B82D75" w:rsidRDefault="00B82D75" w:rsidP="00B82D75">
                        <w:pPr>
                          <w:framePr w:hSpace="45" w:wrap="around" w:vAnchor="text" w:hAnchor="text"/>
                          <w:numPr>
                            <w:ilvl w:val="0"/>
                            <w:numId w:val="21"/>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B. Yao</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L. Wang.</w:t>
                        </w:r>
                        <w:r w:rsidRPr="00B82D75">
                          <w:rPr>
                            <w:rFonts w:ascii="Arial" w:eastAsia="Times New Roman" w:hAnsi="Arial" w:cs="Arial"/>
                            <w:color w:val="000000"/>
                            <w:sz w:val="21"/>
                            <w:szCs w:val="21"/>
                          </w:rPr>
                          <w:t xml:space="preserve"> (2016+). Regression analysis of </w:t>
                        </w:r>
                        <w:proofErr w:type="gramStart"/>
                        <w:r w:rsidRPr="00B82D75">
                          <w:rPr>
                            <w:rFonts w:ascii="Arial" w:eastAsia="Times New Roman" w:hAnsi="Arial" w:cs="Arial"/>
                            <w:color w:val="000000"/>
                            <w:sz w:val="21"/>
                            <w:szCs w:val="21"/>
                          </w:rPr>
                          <w:t>current status</w:t>
                        </w:r>
                        <w:proofErr w:type="gramEnd"/>
                        <w:r w:rsidRPr="00B82D75">
                          <w:rPr>
                            <w:rFonts w:ascii="Arial" w:eastAsia="Times New Roman" w:hAnsi="Arial" w:cs="Arial"/>
                            <w:color w:val="000000"/>
                            <w:sz w:val="21"/>
                            <w:szCs w:val="21"/>
                          </w:rPr>
                          <w:t xml:space="preserve"> data with generalized odds-rate hazards models. Under revision at </w:t>
                        </w:r>
                        <w:r w:rsidRPr="00B82D75">
                          <w:rPr>
                            <w:rFonts w:ascii="Arial" w:eastAsia="Times New Roman" w:hAnsi="Arial" w:cs="Arial"/>
                            <w:i/>
                            <w:iCs/>
                            <w:color w:val="000000"/>
                            <w:sz w:val="21"/>
                            <w:szCs w:val="21"/>
                          </w:rPr>
                          <w:t>Lifetime Data Analysis</w:t>
                        </w:r>
                        <w:r w:rsidRPr="00B82D75">
                          <w:rPr>
                            <w:rFonts w:ascii="Arial" w:eastAsia="Times New Roman" w:hAnsi="Arial" w:cs="Arial"/>
                            <w:color w:val="000000"/>
                            <w:sz w:val="21"/>
                            <w:szCs w:val="21"/>
                          </w:rPr>
                          <w:t>.</w:t>
                        </w:r>
                      </w:p>
                      <w:p w14:paraId="38B086F1"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Shun Yu (2015)</w:t>
                        </w:r>
                      </w:p>
                      <w:p w14:paraId="67359DD2" w14:textId="77777777" w:rsidR="00B82D75" w:rsidRPr="00B82D75" w:rsidRDefault="00B82D75" w:rsidP="00B82D75">
                        <w:pPr>
                          <w:framePr w:hSpace="45" w:wrap="around" w:vAnchor="text" w:hAnchor="text"/>
                          <w:numPr>
                            <w:ilvl w:val="0"/>
                            <w:numId w:val="22"/>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Yu, S.</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Huang, X.</w:t>
                        </w:r>
                        <w:r w:rsidRPr="00B82D75">
                          <w:rPr>
                            <w:rFonts w:ascii="Arial" w:eastAsia="Times New Roman" w:hAnsi="Arial" w:cs="Arial"/>
                            <w:color w:val="000000"/>
                            <w:sz w:val="21"/>
                            <w:szCs w:val="21"/>
                          </w:rPr>
                          <w:t> (2016+) Tests for link misspecification in generalized linear mixed models for binary responses. Submitted.</w:t>
                        </w:r>
                      </w:p>
                      <w:p w14:paraId="0EF46C11" w14:textId="77777777" w:rsidR="00B82D75" w:rsidRPr="00B82D75" w:rsidRDefault="00B82D75" w:rsidP="00B82D75">
                        <w:pPr>
                          <w:framePr w:hSpace="45" w:wrap="around" w:vAnchor="text" w:hAnchor="text"/>
                          <w:numPr>
                            <w:ilvl w:val="0"/>
                            <w:numId w:val="22"/>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Yu.</w:t>
                        </w:r>
                        <w:r w:rsidRPr="00B82D75">
                          <w:rPr>
                            <w:rFonts w:ascii="Arial" w:eastAsia="Times New Roman" w:hAnsi="Arial" w:cs="Arial"/>
                            <w:color w:val="000000"/>
                            <w:sz w:val="21"/>
                            <w:szCs w:val="21"/>
                          </w:rPr>
                          <w:t> S. and </w:t>
                        </w:r>
                        <w:r w:rsidRPr="00B82D75">
                          <w:rPr>
                            <w:rFonts w:ascii="Arial" w:eastAsia="Times New Roman" w:hAnsi="Arial" w:cs="Arial"/>
                            <w:b/>
                            <w:bCs/>
                            <w:color w:val="000000"/>
                            <w:sz w:val="21"/>
                            <w:szCs w:val="21"/>
                          </w:rPr>
                          <w:t>Huang, X. </w:t>
                        </w:r>
                        <w:r w:rsidRPr="00B82D75">
                          <w:rPr>
                            <w:rFonts w:ascii="Arial" w:eastAsia="Times New Roman" w:hAnsi="Arial" w:cs="Arial"/>
                            <w:color w:val="000000"/>
                            <w:sz w:val="21"/>
                            <w:szCs w:val="21"/>
                          </w:rPr>
                          <w:t>(2016+) Effects and detection of random intercept misspecification in generalized linear mixed models.</w:t>
                        </w:r>
                      </w:p>
                      <w:p w14:paraId="51E2756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Tianming</w:t>
                        </w:r>
                        <w:proofErr w:type="spellEnd"/>
                        <w:r w:rsidRPr="00B82D75">
                          <w:rPr>
                            <w:rFonts w:ascii="Arial" w:eastAsia="Times New Roman" w:hAnsi="Arial" w:cs="Arial"/>
                            <w:color w:val="000000"/>
                            <w:sz w:val="21"/>
                            <w:szCs w:val="21"/>
                          </w:rPr>
                          <w:t xml:space="preserve"> Zhang (5</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77BFF212"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X. M. </w:t>
                        </w:r>
                        <w:proofErr w:type="spellStart"/>
                        <w:r w:rsidRPr="00B82D75">
                          <w:rPr>
                            <w:rFonts w:ascii="Arial" w:eastAsia="Times New Roman" w:hAnsi="Arial" w:cs="Arial"/>
                            <w:color w:val="000000"/>
                            <w:sz w:val="21"/>
                            <w:szCs w:val="21"/>
                          </w:rPr>
                          <w:t>Androulakis</w:t>
                        </w:r>
                        <w:proofErr w:type="spellEnd"/>
                        <w:r w:rsidRPr="00B82D75">
                          <w:rPr>
                            <w:rFonts w:ascii="Arial" w:eastAsia="Times New Roman" w:hAnsi="Arial" w:cs="Arial"/>
                            <w:color w:val="000000"/>
                            <w:sz w:val="21"/>
                            <w:szCs w:val="21"/>
                          </w:rPr>
                          <w:t xml:space="preserve">, K. Krebs, B. L. </w:t>
                        </w:r>
                        <w:proofErr w:type="spellStart"/>
                        <w:r w:rsidRPr="00B82D75">
                          <w:rPr>
                            <w:rFonts w:ascii="Arial" w:eastAsia="Times New Roman" w:hAnsi="Arial" w:cs="Arial"/>
                            <w:color w:val="000000"/>
                            <w:sz w:val="21"/>
                            <w:szCs w:val="21"/>
                          </w:rPr>
                          <w:t>Peterlin</w:t>
                        </w:r>
                        <w:proofErr w:type="spellEnd"/>
                        <w:r w:rsidRPr="00B82D75">
                          <w:rPr>
                            <w:rFonts w:ascii="Arial" w:eastAsia="Times New Roman" w:hAnsi="Arial" w:cs="Arial"/>
                            <w:color w:val="000000"/>
                            <w:sz w:val="21"/>
                            <w:szCs w:val="21"/>
                          </w:rPr>
                          <w:t xml:space="preserve">, T. Zhang, N. </w:t>
                        </w:r>
                        <w:proofErr w:type="spellStart"/>
                        <w:r w:rsidRPr="00B82D75">
                          <w:rPr>
                            <w:rFonts w:ascii="Arial" w:eastAsia="Times New Roman" w:hAnsi="Arial" w:cs="Arial"/>
                            <w:color w:val="000000"/>
                            <w:sz w:val="21"/>
                            <w:szCs w:val="21"/>
                          </w:rPr>
                          <w:t>Maleki</w:t>
                        </w:r>
                        <w:proofErr w:type="spellEnd"/>
                        <w:r w:rsidRPr="00B82D75">
                          <w:rPr>
                            <w:rFonts w:ascii="Arial" w:eastAsia="Times New Roman" w:hAnsi="Arial" w:cs="Arial"/>
                            <w:color w:val="000000"/>
                            <w:sz w:val="21"/>
                            <w:szCs w:val="21"/>
                          </w:rPr>
                          <w:t xml:space="preserve">, S. Sen, C. </w:t>
                        </w:r>
                        <w:proofErr w:type="spellStart"/>
                        <w:r w:rsidRPr="00B82D75">
                          <w:rPr>
                            <w:rFonts w:ascii="Arial" w:eastAsia="Times New Roman" w:hAnsi="Arial" w:cs="Arial"/>
                            <w:color w:val="000000"/>
                            <w:sz w:val="21"/>
                            <w:szCs w:val="21"/>
                          </w:rPr>
                          <w:t>Rorden</w:t>
                        </w:r>
                        <w:proofErr w:type="spellEnd"/>
                        <w:r w:rsidRPr="00B82D75">
                          <w:rPr>
                            <w:rFonts w:ascii="Arial" w:eastAsia="Times New Roman" w:hAnsi="Arial" w:cs="Arial"/>
                            <w:color w:val="000000"/>
                            <w:sz w:val="21"/>
                            <w:szCs w:val="21"/>
                          </w:rPr>
                          <w:t xml:space="preserve">, P. </w:t>
                        </w:r>
                        <w:proofErr w:type="spellStart"/>
                        <w:r w:rsidRPr="00B82D75">
                          <w:rPr>
                            <w:rFonts w:ascii="Arial" w:eastAsia="Times New Roman" w:hAnsi="Arial" w:cs="Arial"/>
                            <w:color w:val="000000"/>
                            <w:sz w:val="21"/>
                            <w:szCs w:val="21"/>
                          </w:rPr>
                          <w:t>Herath</w:t>
                        </w:r>
                        <w:proofErr w:type="spellEnd"/>
                        <w:r w:rsidRPr="00B82D75">
                          <w:rPr>
                            <w:rFonts w:ascii="Arial" w:eastAsia="Times New Roman" w:hAnsi="Arial" w:cs="Arial"/>
                            <w:color w:val="000000"/>
                            <w:sz w:val="21"/>
                            <w:szCs w:val="21"/>
                          </w:rPr>
                          <w:t xml:space="preserve"> (2016+). Modulation of intrinsic resting state fMRI networks in women with chronic migraine. Accepted by </w:t>
                        </w:r>
                        <w:r w:rsidRPr="00B82D75">
                          <w:rPr>
                            <w:rFonts w:ascii="Arial" w:eastAsia="Times New Roman" w:hAnsi="Arial" w:cs="Arial"/>
                            <w:i/>
                            <w:iCs/>
                            <w:color w:val="000000"/>
                            <w:sz w:val="21"/>
                            <w:szCs w:val="21"/>
                          </w:rPr>
                          <w:t>Neurology</w:t>
                        </w:r>
                        <w:r w:rsidRPr="00B82D75">
                          <w:rPr>
                            <w:rFonts w:ascii="Arial" w:eastAsia="Times New Roman" w:hAnsi="Arial" w:cs="Arial"/>
                            <w:color w:val="000000"/>
                            <w:sz w:val="21"/>
                            <w:szCs w:val="21"/>
                          </w:rPr>
                          <w:t>.</w:t>
                        </w:r>
                      </w:p>
                      <w:p w14:paraId="19B69913"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Yifan</w:t>
                        </w:r>
                        <w:proofErr w:type="spellEnd"/>
                        <w:r w:rsidRPr="00B82D75">
                          <w:rPr>
                            <w:rFonts w:ascii="Arial" w:eastAsia="Times New Roman" w:hAnsi="Arial" w:cs="Arial"/>
                            <w:color w:val="000000"/>
                            <w:sz w:val="21"/>
                            <w:szCs w:val="21"/>
                          </w:rPr>
                          <w:t xml:space="preserve"> Zhang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0D1B1D2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Ge Zhao (5</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transfer to Penn State)</w:t>
                        </w:r>
                      </w:p>
                      <w:p w14:paraId="643B5F27" w14:textId="77777777" w:rsidR="00B82D75" w:rsidRPr="00B82D75" w:rsidRDefault="00B82D75" w:rsidP="00B82D75">
                        <w:pPr>
                          <w:framePr w:hSpace="45" w:wrap="around" w:vAnchor="text" w:hAnchor="text"/>
                          <w:numPr>
                            <w:ilvl w:val="0"/>
                            <w:numId w:val="23"/>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Zhao, G.</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Ma, Y.</w:t>
                        </w:r>
                        <w:r w:rsidRPr="00B82D75">
                          <w:rPr>
                            <w:rFonts w:ascii="Arial" w:eastAsia="Times New Roman" w:hAnsi="Arial" w:cs="Arial"/>
                            <w:color w:val="000000"/>
                            <w:sz w:val="21"/>
                            <w:szCs w:val="21"/>
                          </w:rPr>
                          <w:t> (2016+) Robust Nonparametric Kernel Regression Estimator, </w:t>
                        </w:r>
                        <w:r w:rsidRPr="00B82D75">
                          <w:rPr>
                            <w:rFonts w:ascii="Arial" w:eastAsia="Times New Roman" w:hAnsi="Arial" w:cs="Arial"/>
                            <w:i/>
                            <w:iCs/>
                            <w:color w:val="000000"/>
                            <w:sz w:val="21"/>
                            <w:szCs w:val="21"/>
                          </w:rPr>
                          <w:t>Statistics and Probability Letters</w:t>
                        </w:r>
                        <w:r w:rsidRPr="00B82D75">
                          <w:rPr>
                            <w:rFonts w:ascii="Arial" w:eastAsia="Times New Roman" w:hAnsi="Arial" w:cs="Arial"/>
                            <w:color w:val="000000"/>
                            <w:sz w:val="21"/>
                            <w:szCs w:val="21"/>
                          </w:rPr>
                          <w:t> (in press)</w:t>
                        </w:r>
                      </w:p>
                      <w:p w14:paraId="54BE3528"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Xinchu</w:t>
                        </w:r>
                        <w:proofErr w:type="spellEnd"/>
                        <w:r w:rsidRPr="00B82D75">
                          <w:rPr>
                            <w:rFonts w:ascii="Arial" w:eastAsia="Times New Roman" w:hAnsi="Arial" w:cs="Arial"/>
                            <w:color w:val="000000"/>
                            <w:sz w:val="21"/>
                            <w:szCs w:val="21"/>
                          </w:rPr>
                          <w:t xml:space="preserve"> Zhao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w:t>
                        </w:r>
                      </w:p>
                      <w:p w14:paraId="200A1F24" w14:textId="77777777" w:rsidR="00B82D75" w:rsidRPr="00B82D75" w:rsidRDefault="00B82D75" w:rsidP="00B82D75">
                        <w:pPr>
                          <w:framePr w:hSpace="45" w:wrap="around" w:vAnchor="text" w:hAnchor="text"/>
                          <w:numPr>
                            <w:ilvl w:val="0"/>
                            <w:numId w:val="24"/>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Zhao, X.</w:t>
                        </w:r>
                        <w:r w:rsidRPr="00B82D75">
                          <w:rPr>
                            <w:rFonts w:ascii="Arial" w:eastAsia="Times New Roman" w:hAnsi="Arial" w:cs="Arial"/>
                            <w:color w:val="000000"/>
                            <w:sz w:val="21"/>
                            <w:szCs w:val="21"/>
                          </w:rPr>
                          <w:t> &amp; </w:t>
                        </w:r>
                        <w:proofErr w:type="spellStart"/>
                        <w:r w:rsidRPr="00B82D75">
                          <w:rPr>
                            <w:rFonts w:ascii="Arial" w:eastAsia="Times New Roman" w:hAnsi="Arial" w:cs="Arial"/>
                            <w:b/>
                            <w:bCs/>
                            <w:color w:val="000000"/>
                            <w:sz w:val="21"/>
                            <w:szCs w:val="21"/>
                          </w:rPr>
                          <w:t>Habing</w:t>
                        </w:r>
                        <w:proofErr w:type="spellEnd"/>
                        <w:r w:rsidRPr="00B82D75">
                          <w:rPr>
                            <w:rFonts w:ascii="Arial" w:eastAsia="Times New Roman" w:hAnsi="Arial" w:cs="Arial"/>
                            <w:b/>
                            <w:bCs/>
                            <w:color w:val="000000"/>
                            <w:sz w:val="21"/>
                            <w:szCs w:val="21"/>
                          </w:rPr>
                          <w:t>, B.</w:t>
                        </w:r>
                        <w:r w:rsidRPr="00B82D75">
                          <w:rPr>
                            <w:rFonts w:ascii="Arial" w:eastAsia="Times New Roman" w:hAnsi="Arial" w:cs="Arial"/>
                            <w:color w:val="000000"/>
                            <w:sz w:val="21"/>
                            <w:szCs w:val="21"/>
                          </w:rPr>
                          <w:t>  (2016+) A rotatable asymmetric variable compensation MIRT Model. Under revision at </w:t>
                        </w:r>
                        <w:r w:rsidRPr="00B82D75">
                          <w:rPr>
                            <w:rFonts w:ascii="Arial" w:eastAsia="Times New Roman" w:hAnsi="Arial" w:cs="Arial"/>
                            <w:i/>
                            <w:iCs/>
                            <w:color w:val="000000"/>
                            <w:sz w:val="21"/>
                            <w:szCs w:val="21"/>
                          </w:rPr>
                          <w:t>Applied Psychological Measurement</w:t>
                        </w:r>
                        <w:r w:rsidRPr="00B82D75">
                          <w:rPr>
                            <w:rFonts w:ascii="Arial" w:eastAsia="Times New Roman" w:hAnsi="Arial" w:cs="Arial"/>
                            <w:color w:val="000000"/>
                            <w:sz w:val="21"/>
                            <w:szCs w:val="21"/>
                          </w:rPr>
                          <w:t>.</w:t>
                        </w:r>
                      </w:p>
                      <w:p w14:paraId="3F59793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Qiang</w:t>
                        </w:r>
                        <w:proofErr w:type="spellEnd"/>
                        <w:r w:rsidRPr="00B82D75">
                          <w:rPr>
                            <w:rFonts w:ascii="Arial" w:eastAsia="Times New Roman" w:hAnsi="Arial" w:cs="Arial"/>
                            <w:color w:val="000000"/>
                            <w:sz w:val="21"/>
                            <w:szCs w:val="21"/>
                          </w:rPr>
                          <w:t xml:space="preserve"> Zheng (3</w:t>
                        </w:r>
                        <w:r w:rsidRPr="00B82D75">
                          <w:rPr>
                            <w:rFonts w:ascii="Arial" w:eastAsia="Times New Roman" w:hAnsi="Arial" w:cs="Arial"/>
                            <w:color w:val="000000"/>
                            <w:sz w:val="21"/>
                            <w:szCs w:val="21"/>
                            <w:vertAlign w:val="superscript"/>
                          </w:rPr>
                          <w:t>rd</w:t>
                        </w:r>
                        <w:r w:rsidRPr="00B82D75">
                          <w:rPr>
                            <w:rFonts w:ascii="Arial" w:eastAsia="Times New Roman" w:hAnsi="Arial" w:cs="Arial"/>
                            <w:color w:val="000000"/>
                            <w:sz w:val="21"/>
                            <w:szCs w:val="21"/>
                          </w:rPr>
                          <w:t> year)</w:t>
                        </w:r>
                      </w:p>
                      <w:p w14:paraId="668C750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spellStart"/>
                        <w:r w:rsidRPr="00B82D75">
                          <w:rPr>
                            <w:rFonts w:ascii="Arial" w:eastAsia="Times New Roman" w:hAnsi="Arial" w:cs="Arial"/>
                            <w:color w:val="000000"/>
                            <w:sz w:val="21"/>
                            <w:szCs w:val="21"/>
                          </w:rPr>
                          <w:t>Haiming</w:t>
                        </w:r>
                        <w:proofErr w:type="spellEnd"/>
                        <w:r w:rsidRPr="00B82D75">
                          <w:rPr>
                            <w:rFonts w:ascii="Arial" w:eastAsia="Times New Roman" w:hAnsi="Arial" w:cs="Arial"/>
                            <w:color w:val="000000"/>
                            <w:sz w:val="21"/>
                            <w:szCs w:val="21"/>
                          </w:rPr>
                          <w:t xml:space="preserve"> Zhou (2015)</w:t>
                        </w:r>
                      </w:p>
                      <w:p w14:paraId="35731212"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Zhou, H.</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Huang, X.</w:t>
                        </w:r>
                        <w:r w:rsidRPr="00B82D75">
                          <w:rPr>
                            <w:rFonts w:ascii="Arial" w:eastAsia="Times New Roman" w:hAnsi="Arial" w:cs="Arial"/>
                            <w:color w:val="000000"/>
                            <w:sz w:val="21"/>
                            <w:szCs w:val="21"/>
                          </w:rPr>
                          <w:t> (2016). Nonparametric modal regression in the presence of measurement error. </w:t>
                        </w:r>
                        <w:proofErr w:type="spellStart"/>
                        <w:r w:rsidRPr="00B82D75">
                          <w:rPr>
                            <w:rFonts w:ascii="Arial" w:eastAsia="Times New Roman" w:hAnsi="Arial" w:cs="Arial"/>
                            <w:i/>
                            <w:iCs/>
                            <w:color w:val="000000"/>
                            <w:sz w:val="21"/>
                            <w:szCs w:val="21"/>
                          </w:rPr>
                          <w:t>Electornioc</w:t>
                        </w:r>
                        <w:proofErr w:type="spellEnd"/>
                        <w:r w:rsidRPr="00B82D75">
                          <w:rPr>
                            <w:rFonts w:ascii="Arial" w:eastAsia="Times New Roman" w:hAnsi="Arial" w:cs="Arial"/>
                            <w:i/>
                            <w:iCs/>
                            <w:color w:val="000000"/>
                            <w:sz w:val="21"/>
                            <w:szCs w:val="21"/>
                          </w:rPr>
                          <w:t xml:space="preserve"> Journal of Statistics</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10</w:t>
                        </w:r>
                        <w:r w:rsidRPr="00B82D75">
                          <w:rPr>
                            <w:rFonts w:ascii="Arial" w:eastAsia="Times New Roman" w:hAnsi="Arial" w:cs="Arial"/>
                            <w:color w:val="000000"/>
                            <w:sz w:val="21"/>
                            <w:szCs w:val="21"/>
                          </w:rPr>
                          <w:t>, 3579-3620.</w:t>
                        </w:r>
                      </w:p>
                      <w:p w14:paraId="1A8905AC"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Liu, J., Liu, S., </w:t>
                        </w:r>
                        <w:r w:rsidRPr="00B82D75">
                          <w:rPr>
                            <w:rFonts w:ascii="Arial" w:eastAsia="Times New Roman" w:hAnsi="Arial" w:cs="Arial"/>
                            <w:b/>
                            <w:bCs/>
                            <w:color w:val="000000"/>
                            <w:sz w:val="21"/>
                            <w:szCs w:val="21"/>
                          </w:rPr>
                          <w:t>Zhou, H.,</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Yang, L., Chen, Z., and Zhou, M. (2016). Association of green tea consumption with mortality from all-cause, cardiovascular disease and cancer in a Chinese cohort of men. </w:t>
                        </w:r>
                        <w:r w:rsidRPr="00B82D75">
                          <w:rPr>
                            <w:rFonts w:ascii="Arial" w:eastAsia="Times New Roman" w:hAnsi="Arial" w:cs="Arial"/>
                            <w:i/>
                            <w:iCs/>
                            <w:color w:val="000000"/>
                            <w:sz w:val="21"/>
                            <w:szCs w:val="21"/>
                          </w:rPr>
                          <w:t>Journal of European Epidemiology</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31</w:t>
                        </w:r>
                        <w:r w:rsidRPr="00B82D75">
                          <w:rPr>
                            <w:rFonts w:ascii="Arial" w:eastAsia="Times New Roman" w:hAnsi="Arial" w:cs="Arial"/>
                            <w:color w:val="000000"/>
                            <w:sz w:val="21"/>
                            <w:szCs w:val="21"/>
                          </w:rPr>
                          <w:t>, 853-865</w:t>
                        </w:r>
                      </w:p>
                      <w:p w14:paraId="15AB55C1"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Zhou, H.</w:t>
                        </w:r>
                        <w:r w:rsidRPr="00B82D75">
                          <w:rPr>
                            <w:rFonts w:ascii="Arial" w:eastAsia="Times New Roman" w:hAnsi="Arial" w:cs="Arial"/>
                            <w:color w:val="000000"/>
                            <w:sz w:val="21"/>
                            <w:szCs w:val="21"/>
                          </w:rPr>
                          <w:t> &amp;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xml:space="preserve">  (2015).  Bayesian spatial survival models.  In R. Mitra &amp; P. </w:t>
                        </w:r>
                        <w:proofErr w:type="spellStart"/>
                        <w:r w:rsidRPr="00B82D75">
                          <w:rPr>
                            <w:rFonts w:ascii="Arial" w:eastAsia="Times New Roman" w:hAnsi="Arial" w:cs="Arial"/>
                            <w:color w:val="000000"/>
                            <w:sz w:val="21"/>
                            <w:szCs w:val="21"/>
                          </w:rPr>
                          <w:t>Müller</w:t>
                        </w:r>
                        <w:proofErr w:type="spellEnd"/>
                        <w:r w:rsidRPr="00B82D75">
                          <w:rPr>
                            <w:rFonts w:ascii="Arial" w:eastAsia="Times New Roman" w:hAnsi="Arial" w:cs="Arial"/>
                            <w:color w:val="000000"/>
                            <w:sz w:val="21"/>
                            <w:szCs w:val="21"/>
                          </w:rPr>
                          <w:t xml:space="preserve"> (Eds.) </w:t>
                        </w:r>
                        <w:r w:rsidRPr="00B82D75">
                          <w:rPr>
                            <w:rFonts w:ascii="Arial" w:eastAsia="Times New Roman" w:hAnsi="Arial" w:cs="Arial"/>
                            <w:i/>
                            <w:iCs/>
                            <w:color w:val="000000"/>
                            <w:sz w:val="21"/>
                            <w:szCs w:val="21"/>
                          </w:rPr>
                          <w:t>Nonparametric Bayesian Methods in Biostatistics and Bioinformatics (Frontiers in Probability and the Statistical Sciences)</w:t>
                        </w:r>
                        <w:r w:rsidRPr="00B82D75">
                          <w:rPr>
                            <w:rFonts w:ascii="Arial" w:eastAsia="Times New Roman" w:hAnsi="Arial" w:cs="Arial"/>
                            <w:color w:val="000000"/>
                            <w:sz w:val="21"/>
                            <w:szCs w:val="21"/>
                          </w:rPr>
                          <w:t>.  (pp. 215-246).  Switzerland:  Springer International Publishing.</w:t>
                        </w:r>
                      </w:p>
                      <w:p w14:paraId="69057E6A"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Zhou, H.,</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xml:space="preserve">, </w:t>
                        </w:r>
                        <w:proofErr w:type="spellStart"/>
                        <w:r w:rsidRPr="00B82D75">
                          <w:rPr>
                            <w:rFonts w:ascii="Arial" w:eastAsia="Times New Roman" w:hAnsi="Arial" w:cs="Arial"/>
                            <w:color w:val="000000"/>
                            <w:sz w:val="21"/>
                            <w:szCs w:val="21"/>
                          </w:rPr>
                          <w:t>Jara</w:t>
                        </w:r>
                        <w:proofErr w:type="spellEnd"/>
                        <w:r w:rsidRPr="00B82D75">
                          <w:rPr>
                            <w:rFonts w:ascii="Arial" w:eastAsia="Times New Roman" w:hAnsi="Arial" w:cs="Arial"/>
                            <w:color w:val="000000"/>
                            <w:sz w:val="21"/>
                            <w:szCs w:val="21"/>
                          </w:rPr>
                          <w:t>, A., &amp; Zhang, J.  (2015).  Modelling county level breast cancer survival data using covariate-adjusted frailty proportional hazards model.  </w:t>
                        </w:r>
                        <w:r w:rsidRPr="00B82D75">
                          <w:rPr>
                            <w:rFonts w:ascii="Arial" w:eastAsia="Times New Roman" w:hAnsi="Arial" w:cs="Arial"/>
                            <w:i/>
                            <w:iCs/>
                            <w:color w:val="000000"/>
                            <w:sz w:val="21"/>
                            <w:szCs w:val="21"/>
                          </w:rPr>
                          <w:t>Annals of Applied Statistics</w:t>
                        </w:r>
                        <w:r w:rsidRPr="00B82D75">
                          <w:rPr>
                            <w:rFonts w:ascii="Arial" w:eastAsia="Times New Roman" w:hAnsi="Arial" w:cs="Arial"/>
                            <w:color w:val="000000"/>
                            <w:sz w:val="21"/>
                            <w:szCs w:val="21"/>
                          </w:rPr>
                          <w:t>, 9, 43-68.</w:t>
                        </w:r>
                      </w:p>
                      <w:p w14:paraId="12CF9648"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Zhou, H.,</w:t>
                        </w:r>
                        <w:r w:rsidRPr="00B82D75">
                          <w:rPr>
                            <w:rFonts w:ascii="Arial" w:eastAsia="Times New Roman" w:hAnsi="Arial" w:cs="Arial"/>
                            <w:color w:val="000000"/>
                            <w:sz w:val="21"/>
                            <w:szCs w:val="21"/>
                          </w:rPr>
                          <w:t> </w:t>
                        </w:r>
                        <w:r w:rsidRPr="00B82D75">
                          <w:rPr>
                            <w:rFonts w:ascii="Arial" w:eastAsia="Times New Roman" w:hAnsi="Arial" w:cs="Arial"/>
                            <w:b/>
                            <w:bCs/>
                            <w:color w:val="000000"/>
                            <w:sz w:val="21"/>
                            <w:szCs w:val="21"/>
                          </w:rPr>
                          <w:t>Hanson, T.</w:t>
                        </w:r>
                        <w:r w:rsidRPr="00B82D75">
                          <w:rPr>
                            <w:rFonts w:ascii="Arial" w:eastAsia="Times New Roman" w:hAnsi="Arial" w:cs="Arial"/>
                            <w:color w:val="000000"/>
                            <w:sz w:val="21"/>
                            <w:szCs w:val="21"/>
                          </w:rPr>
                          <w:t>, &amp; Knapp, R.  (2015).  Marginal Bayesian nonparametric model for time to disease arrival of threatened amphibian populations.  </w:t>
                        </w:r>
                        <w:r w:rsidRPr="00B82D75">
                          <w:rPr>
                            <w:rFonts w:ascii="Arial" w:eastAsia="Times New Roman" w:hAnsi="Arial" w:cs="Arial"/>
                            <w:i/>
                            <w:iCs/>
                            <w:color w:val="000000"/>
                            <w:sz w:val="21"/>
                            <w:szCs w:val="21"/>
                          </w:rPr>
                          <w:t>Biometrics</w:t>
                        </w:r>
                        <w:r w:rsidRPr="00B82D75">
                          <w:rPr>
                            <w:rFonts w:ascii="Arial" w:eastAsia="Times New Roman" w:hAnsi="Arial" w:cs="Arial"/>
                            <w:color w:val="000000"/>
                            <w:sz w:val="21"/>
                            <w:szCs w:val="21"/>
                          </w:rPr>
                          <w:t>, 71, 1101-1110.</w:t>
                        </w:r>
                      </w:p>
                      <w:p w14:paraId="40C4FF9A"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Zhou, H.</w:t>
                        </w:r>
                        <w:r w:rsidRPr="00B82D75">
                          <w:rPr>
                            <w:rFonts w:ascii="Arial" w:eastAsia="Times New Roman" w:hAnsi="Arial" w:cs="Arial"/>
                            <w:color w:val="000000"/>
                            <w:sz w:val="21"/>
                            <w:szCs w:val="21"/>
                          </w:rPr>
                          <w:t>, and </w:t>
                        </w:r>
                        <w:r w:rsidRPr="00B82D75">
                          <w:rPr>
                            <w:rFonts w:ascii="Arial" w:eastAsia="Times New Roman" w:hAnsi="Arial" w:cs="Arial"/>
                            <w:b/>
                            <w:bCs/>
                            <w:color w:val="000000"/>
                            <w:sz w:val="21"/>
                            <w:szCs w:val="21"/>
                          </w:rPr>
                          <w:t>Huang, X.</w:t>
                        </w:r>
                        <w:r w:rsidRPr="00B82D75">
                          <w:rPr>
                            <w:rFonts w:ascii="Arial" w:eastAsia="Times New Roman" w:hAnsi="Arial" w:cs="Arial"/>
                            <w:color w:val="000000"/>
                            <w:sz w:val="21"/>
                            <w:szCs w:val="21"/>
                          </w:rPr>
                          <w:t> (2016+) Bandwidth selection for nonparametric modal regression. Submitted</w:t>
                        </w:r>
                      </w:p>
                      <w:p w14:paraId="608EA0AB"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Huang, X. </w:t>
                        </w:r>
                        <w:r w:rsidRPr="00B82D75">
                          <w:rPr>
                            <w:rFonts w:ascii="Arial" w:eastAsia="Times New Roman" w:hAnsi="Arial" w:cs="Arial"/>
                            <w:color w:val="000000"/>
                            <w:sz w:val="21"/>
                            <w:szCs w:val="21"/>
                          </w:rPr>
                          <w:t>and </w:t>
                        </w:r>
                        <w:r w:rsidRPr="00B82D75">
                          <w:rPr>
                            <w:rFonts w:ascii="Arial" w:eastAsia="Times New Roman" w:hAnsi="Arial" w:cs="Arial"/>
                            <w:b/>
                            <w:bCs/>
                            <w:color w:val="000000"/>
                            <w:sz w:val="21"/>
                            <w:szCs w:val="21"/>
                          </w:rPr>
                          <w:t>Zhou, H. </w:t>
                        </w:r>
                        <w:r w:rsidRPr="00B82D75">
                          <w:rPr>
                            <w:rFonts w:ascii="Arial" w:eastAsia="Times New Roman" w:hAnsi="Arial" w:cs="Arial"/>
                            <w:color w:val="000000"/>
                            <w:sz w:val="21"/>
                            <w:szCs w:val="21"/>
                          </w:rPr>
                          <w:t>(2016+) An alternative local polynomial estimator for the errors-in-variables problem. Submitted</w:t>
                        </w:r>
                      </w:p>
                      <w:p w14:paraId="5AB6A546" w14:textId="77777777" w:rsidR="00B82D75" w:rsidRPr="00B82D75" w:rsidRDefault="00B82D75" w:rsidP="00B82D75">
                        <w:pPr>
                          <w:framePr w:hSpace="45" w:wrap="around" w:vAnchor="text" w:hAnchor="text"/>
                          <w:numPr>
                            <w:ilvl w:val="0"/>
                            <w:numId w:val="25"/>
                          </w:numPr>
                          <w:spacing w:before="100" w:beforeAutospacing="1" w:after="100" w:afterAutospacing="1" w:line="240" w:lineRule="auto"/>
                          <w:rPr>
                            <w:rFonts w:ascii="Arial" w:eastAsia="Times New Roman" w:hAnsi="Arial" w:cs="Arial"/>
                            <w:color w:val="000000"/>
                            <w:sz w:val="21"/>
                            <w:szCs w:val="21"/>
                          </w:rPr>
                        </w:pPr>
                        <w:proofErr w:type="gramStart"/>
                        <w:r w:rsidRPr="00B82D75">
                          <w:rPr>
                            <w:rFonts w:ascii="Arial" w:eastAsia="Times New Roman" w:hAnsi="Arial" w:cs="Arial"/>
                            <w:b/>
                            <w:bCs/>
                            <w:color w:val="000000"/>
                            <w:sz w:val="21"/>
                            <w:szCs w:val="21"/>
                          </w:rPr>
                          <w:t>Zhou, H., Hanson, T.,</w:t>
                        </w:r>
                        <w:r w:rsidRPr="00B82D75">
                          <w:rPr>
                            <w:rFonts w:ascii="Arial" w:eastAsia="Times New Roman" w:hAnsi="Arial" w:cs="Arial"/>
                            <w:color w:val="000000"/>
                            <w:sz w:val="21"/>
                            <w:szCs w:val="21"/>
                          </w:rPr>
                          <w:t> and Zhang,</w:t>
                        </w:r>
                        <w:proofErr w:type="gramEnd"/>
                        <w:r w:rsidRPr="00B82D75">
                          <w:rPr>
                            <w:rFonts w:ascii="Arial" w:eastAsia="Times New Roman" w:hAnsi="Arial" w:cs="Arial"/>
                            <w:color w:val="000000"/>
                            <w:sz w:val="21"/>
                            <w:szCs w:val="21"/>
                          </w:rPr>
                          <w:t xml:space="preserve"> J. Generalized accelerated failure time spatial frailty model for arbitrarily censored data. </w:t>
                        </w:r>
                        <w:r w:rsidRPr="00B82D75">
                          <w:rPr>
                            <w:rFonts w:ascii="Arial" w:eastAsia="Times New Roman" w:hAnsi="Arial" w:cs="Arial"/>
                            <w:i/>
                            <w:iCs/>
                            <w:color w:val="000000"/>
                            <w:sz w:val="21"/>
                            <w:szCs w:val="21"/>
                          </w:rPr>
                          <w:t>Lifetime Data Analysis</w:t>
                        </w:r>
                        <w:r w:rsidRPr="00B82D75">
                          <w:rPr>
                            <w:rFonts w:ascii="Arial" w:eastAsia="Times New Roman" w:hAnsi="Arial" w:cs="Arial"/>
                            <w:color w:val="000000"/>
                            <w:sz w:val="21"/>
                            <w:szCs w:val="21"/>
                          </w:rPr>
                          <w:t>, accepted.</w:t>
                        </w:r>
                      </w:p>
                    </w:tc>
                  </w:tr>
                  <w:tr w:rsidR="00B82D75" w:rsidRPr="00B82D75" w14:paraId="59F90340" w14:textId="77777777">
                    <w:trPr>
                      <w:tblCellSpacing w:w="15" w:type="dxa"/>
                    </w:trPr>
                    <w:tc>
                      <w:tcPr>
                        <w:tcW w:w="0" w:type="auto"/>
                        <w:hideMark/>
                      </w:tcPr>
                      <w:p w14:paraId="16F0828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Use of Results</w:t>
                        </w:r>
                      </w:p>
                    </w:tc>
                    <w:tc>
                      <w:tcPr>
                        <w:tcW w:w="0" w:type="auto"/>
                        <w:hideMark/>
                      </w:tcPr>
                      <w:p w14:paraId="23CBBC0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02CB4899" w14:textId="77777777">
                    <w:trPr>
                      <w:tblCellSpacing w:w="15" w:type="dxa"/>
                    </w:trPr>
                    <w:tc>
                      <w:tcPr>
                        <w:tcW w:w="0" w:type="auto"/>
                        <w:gridSpan w:val="2"/>
                        <w:hideMark/>
                      </w:tcPr>
                      <w:p w14:paraId="40FE9C9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Overall, our PhD students are motivated to produce publishable works from their dissertation research that contribute new statistical methodology and theories to existing statistical literature, and we have had students graduated in recent years who accomplished this. We will use these past successes to create more incentives for current and future PhD candidates in our department to continue producing high-quality research products as they work through dissertations. These incentives include, for example, inviting alumni back for seminars, encouraging students to apply for research grants such as SPARC, supporting students to attend and present research at conferences, organizing student research talks during the department seminar slots. Based on these assessment results, we will gather input from dissertation advisors on effective means of motivating and guiding students on their research to address up-to-date challenging problems, and other approaches to cultivate a vivid research atmosphere in the department. </w:t>
                        </w:r>
                      </w:p>
                    </w:tc>
                  </w:tr>
                </w:tbl>
                <w:p w14:paraId="4BACB7F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3040FDC7" w14:textId="77777777">
              <w:trPr>
                <w:tblCellSpacing w:w="0" w:type="dxa"/>
              </w:trPr>
              <w:tc>
                <w:tcPr>
                  <w:tcW w:w="0" w:type="auto"/>
                  <w:hideMark/>
                </w:tcPr>
                <w:p w14:paraId="6769449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 </w:t>
                  </w:r>
                </w:p>
              </w:tc>
              <w:tc>
                <w:tcPr>
                  <w:tcW w:w="0" w:type="auto"/>
                  <w:hideMark/>
                </w:tcPr>
                <w:p w14:paraId="4C78EAF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55DAA93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3.</w:t>
                  </w:r>
                </w:p>
              </w:tc>
              <w:tc>
                <w:tcPr>
                  <w:tcW w:w="0" w:type="auto"/>
                  <w:shd w:val="clear" w:color="auto" w:fill="CCCCCC"/>
                  <w:hideMark/>
                </w:tcPr>
                <w:p w14:paraId="409BB37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0EF4D99" w14:textId="77777777">
              <w:trPr>
                <w:tblCellSpacing w:w="0" w:type="dxa"/>
              </w:trPr>
              <w:tc>
                <w:tcPr>
                  <w:tcW w:w="0" w:type="auto"/>
                  <w:hideMark/>
                </w:tcPr>
                <w:p w14:paraId="4854867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6DB6A45E"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12CCAC0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recipient who desires a career in academia should have the ability to teach at the collegiate level.</w:t>
                  </w:r>
                </w:p>
              </w:tc>
            </w:tr>
            <w:tr w:rsidR="00B82D75" w:rsidRPr="00B82D75" w14:paraId="472C212C" w14:textId="77777777">
              <w:trPr>
                <w:tblCellSpacing w:w="0" w:type="dxa"/>
              </w:trPr>
              <w:tc>
                <w:tcPr>
                  <w:tcW w:w="0" w:type="auto"/>
                  <w:hideMark/>
                </w:tcPr>
                <w:p w14:paraId="0780B90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70462DB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612F5114" w14:textId="77777777">
                    <w:trPr>
                      <w:tblCellSpacing w:w="15" w:type="dxa"/>
                    </w:trPr>
                    <w:tc>
                      <w:tcPr>
                        <w:tcW w:w="3000" w:type="pct"/>
                        <w:hideMark/>
                      </w:tcPr>
                      <w:p w14:paraId="4F546A7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748659C8"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7971A3A5" w14:textId="77777777">
                    <w:trPr>
                      <w:tblCellSpacing w:w="15" w:type="dxa"/>
                    </w:trPr>
                    <w:tc>
                      <w:tcPr>
                        <w:tcW w:w="0" w:type="auto"/>
                        <w:gridSpan w:val="2"/>
                        <w:hideMark/>
                      </w:tcPr>
                      <w:p w14:paraId="6F465D2E"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Ph.D. students who express the desire to pursue a career in academia should be given the opportunity and support to build their vita by successfully teaching a course as its instructor of record. At least 90% of students should be rated as "Good" in faculty evaluations and get an overall rating of 3.5 out of 5 in student evaluations.</w:t>
                        </w:r>
                      </w:p>
                    </w:tc>
                  </w:tr>
                  <w:tr w:rsidR="00B82D75" w:rsidRPr="00B82D75" w14:paraId="6DDB390A" w14:textId="77777777">
                    <w:trPr>
                      <w:tblCellSpacing w:w="15" w:type="dxa"/>
                    </w:trPr>
                    <w:tc>
                      <w:tcPr>
                        <w:tcW w:w="0" w:type="auto"/>
                        <w:hideMark/>
                      </w:tcPr>
                      <w:p w14:paraId="179FED8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Methods</w:t>
                        </w:r>
                      </w:p>
                    </w:tc>
                    <w:tc>
                      <w:tcPr>
                        <w:tcW w:w="0" w:type="auto"/>
                        <w:hideMark/>
                      </w:tcPr>
                      <w:p w14:paraId="6D68F06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F079880" w14:textId="77777777">
                    <w:trPr>
                      <w:tblCellSpacing w:w="15" w:type="dxa"/>
                    </w:trPr>
                    <w:tc>
                      <w:tcPr>
                        <w:tcW w:w="0" w:type="auto"/>
                        <w:gridSpan w:val="2"/>
                        <w:hideMark/>
                      </w:tcPr>
                      <w:p w14:paraId="0E2839A2"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Success in meeting this learning outcome is evaluated every third year (the next will be academic year 2015-2016). The two major sources of information for evaluating this criterion are the faculty evaluations and student evaluations of the graduate teaching assistants in the program. This information is supplemented by the students’ impressions of their capabilities as evaluated by the graduate student exit survey.</w:t>
                        </w:r>
                      </w:p>
                      <w:p w14:paraId="3837BF37"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all faculty evaluations and student evaluations of the graduate teaching assistants over the previous year.</w:t>
                        </w:r>
                      </w:p>
                      <w:p w14:paraId="4DAF5FC5"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student responses to the exit survey question: “If you are interested in pursuing a career in academia, how do you assess your ability to teach statistics at the collegiate level.”</w:t>
                        </w:r>
                      </w:p>
                      <w:p w14:paraId="5BF9EAA5"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The assessment coordinator will summarize job placements for PhD students graduating during the last three years.</w:t>
                        </w:r>
                      </w:p>
                      <w:p w14:paraId="1DABB33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These results will be presented to the department’s graduate committee who will prepare a report on the findings, along with initial suggestions for further refinement or improvement of the program if necessary. The committee report will be presented to the entire department as an agenda item at the annual department retreat.</w:t>
                        </w:r>
                      </w:p>
                    </w:tc>
                  </w:tr>
                  <w:tr w:rsidR="00B82D75" w:rsidRPr="00B82D75" w14:paraId="6C97AEFE" w14:textId="77777777">
                    <w:trPr>
                      <w:tblCellSpacing w:w="15" w:type="dxa"/>
                    </w:trPr>
                    <w:tc>
                      <w:tcPr>
                        <w:tcW w:w="0" w:type="auto"/>
                        <w:hideMark/>
                      </w:tcPr>
                      <w:p w14:paraId="41725DF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Results</w:t>
                        </w:r>
                      </w:p>
                    </w:tc>
                    <w:tc>
                      <w:tcPr>
                        <w:tcW w:w="0" w:type="auto"/>
                        <w:hideMark/>
                      </w:tcPr>
                      <w:p w14:paraId="5B8A883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1F0A258E" w14:textId="77777777">
                    <w:trPr>
                      <w:tblCellSpacing w:w="15" w:type="dxa"/>
                    </w:trPr>
                    <w:tc>
                      <w:tcPr>
                        <w:tcW w:w="0" w:type="auto"/>
                        <w:gridSpan w:val="2"/>
                        <w:hideMark/>
                      </w:tcPr>
                      <w:p w14:paraId="12213565"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No assessment needed this year.</w:t>
                        </w:r>
                      </w:p>
                    </w:tc>
                  </w:tr>
                  <w:tr w:rsidR="00B82D75" w:rsidRPr="00B82D75" w14:paraId="69266E5E" w14:textId="77777777">
                    <w:trPr>
                      <w:tblCellSpacing w:w="15" w:type="dxa"/>
                    </w:trPr>
                    <w:tc>
                      <w:tcPr>
                        <w:tcW w:w="0" w:type="auto"/>
                        <w:hideMark/>
                      </w:tcPr>
                      <w:p w14:paraId="634F857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Use of Results</w:t>
                        </w:r>
                      </w:p>
                    </w:tc>
                    <w:tc>
                      <w:tcPr>
                        <w:tcW w:w="0" w:type="auto"/>
                        <w:hideMark/>
                      </w:tcPr>
                      <w:p w14:paraId="7CBFE7A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79A329D9" w14:textId="77777777">
                    <w:trPr>
                      <w:tblCellSpacing w:w="15" w:type="dxa"/>
                    </w:trPr>
                    <w:tc>
                      <w:tcPr>
                        <w:tcW w:w="0" w:type="auto"/>
                        <w:gridSpan w:val="2"/>
                        <w:hideMark/>
                      </w:tcPr>
                      <w:p w14:paraId="02650CA8"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No assessment needed this year.</w:t>
                        </w:r>
                      </w:p>
                    </w:tc>
                  </w:tr>
                </w:tbl>
                <w:p w14:paraId="0389591B"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1AD5C4CB" w14:textId="77777777">
              <w:trPr>
                <w:tblCellSpacing w:w="0" w:type="dxa"/>
              </w:trPr>
              <w:tc>
                <w:tcPr>
                  <w:tcW w:w="0" w:type="auto"/>
                  <w:hideMark/>
                </w:tcPr>
                <w:p w14:paraId="03016FF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 </w:t>
                  </w:r>
                </w:p>
              </w:tc>
              <w:tc>
                <w:tcPr>
                  <w:tcW w:w="0" w:type="auto"/>
                  <w:hideMark/>
                </w:tcPr>
                <w:p w14:paraId="6930846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05538BE8"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4.</w:t>
                  </w:r>
                </w:p>
              </w:tc>
              <w:tc>
                <w:tcPr>
                  <w:tcW w:w="0" w:type="auto"/>
                  <w:shd w:val="clear" w:color="auto" w:fill="CCCCCC"/>
                  <w:hideMark/>
                </w:tcPr>
                <w:p w14:paraId="712B07C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F2E8292" w14:textId="77777777">
              <w:trPr>
                <w:tblCellSpacing w:w="0" w:type="dxa"/>
              </w:trPr>
              <w:tc>
                <w:tcPr>
                  <w:tcW w:w="0" w:type="auto"/>
                  <w:hideMark/>
                </w:tcPr>
                <w:p w14:paraId="15EB6A7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035F9B4B"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05D533BD"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Doctoral students should complete all required coursework, pass the qualifying exam at the Ph.D. level, then propose, write, and defend their dissertation in a timely manner.</w:t>
                  </w:r>
                </w:p>
              </w:tc>
            </w:tr>
            <w:tr w:rsidR="00B82D75" w:rsidRPr="00B82D75" w14:paraId="30CA113C" w14:textId="77777777">
              <w:trPr>
                <w:tblCellSpacing w:w="0" w:type="dxa"/>
              </w:trPr>
              <w:tc>
                <w:tcPr>
                  <w:tcW w:w="0" w:type="auto"/>
                  <w:hideMark/>
                </w:tcPr>
                <w:p w14:paraId="1653FBA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2EE8E1C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1B91789A" w14:textId="77777777">
                    <w:trPr>
                      <w:tblCellSpacing w:w="15" w:type="dxa"/>
                    </w:trPr>
                    <w:tc>
                      <w:tcPr>
                        <w:tcW w:w="3000" w:type="pct"/>
                        <w:hideMark/>
                      </w:tcPr>
                      <w:p w14:paraId="372A28B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6767FE3E"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B2D501E" w14:textId="77777777">
                    <w:trPr>
                      <w:tblCellSpacing w:w="15" w:type="dxa"/>
                    </w:trPr>
                    <w:tc>
                      <w:tcPr>
                        <w:tcW w:w="0" w:type="auto"/>
                        <w:gridSpan w:val="2"/>
                        <w:hideMark/>
                      </w:tcPr>
                      <w:p w14:paraId="36CC6AE3"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Information on the time from admittance into the program to defense of the dissertation will be compiled for each student, including those that ultimately do not finish (</w:t>
                        </w:r>
                        <w:proofErr w:type="gramStart"/>
                        <w:r w:rsidRPr="00B82D75">
                          <w:rPr>
                            <w:rFonts w:ascii="Arial" w:eastAsia="Times New Roman" w:hAnsi="Arial" w:cs="Arial"/>
                            <w:color w:val="000000"/>
                            <w:sz w:val="21"/>
                            <w:szCs w:val="21"/>
                          </w:rPr>
                          <w:t>i.e.</w:t>
                        </w:r>
                        <w:proofErr w:type="gramEnd"/>
                        <w:r w:rsidRPr="00B82D75">
                          <w:rPr>
                            <w:rFonts w:ascii="Arial" w:eastAsia="Times New Roman" w:hAnsi="Arial" w:cs="Arial"/>
                            <w:color w:val="000000"/>
                            <w:sz w:val="21"/>
                            <w:szCs w:val="21"/>
                          </w:rPr>
                          <w:t xml:space="preserve"> are all-but-</w:t>
                        </w:r>
                        <w:proofErr w:type="spellStart"/>
                        <w:r w:rsidRPr="00B82D75">
                          <w:rPr>
                            <w:rFonts w:ascii="Arial" w:eastAsia="Times New Roman" w:hAnsi="Arial" w:cs="Arial"/>
                            <w:color w:val="000000"/>
                            <w:sz w:val="21"/>
                            <w:szCs w:val="21"/>
                          </w:rPr>
                          <w:t>disseration</w:t>
                        </w:r>
                        <w:proofErr w:type="spellEnd"/>
                        <w:r w:rsidRPr="00B82D75">
                          <w:rPr>
                            <w:rFonts w:ascii="Arial" w:eastAsia="Times New Roman" w:hAnsi="Arial" w:cs="Arial"/>
                            <w:color w:val="000000"/>
                            <w:sz w:val="21"/>
                            <w:szCs w:val="21"/>
                          </w:rPr>
                          <w:t xml:space="preserve">, or ABD).  At least 80% of students admitted with at most a </w:t>
                        </w:r>
                        <w:proofErr w:type="spellStart"/>
                        <w:proofErr w:type="gramStart"/>
                        <w:r w:rsidRPr="00B82D75">
                          <w:rPr>
                            <w:rFonts w:ascii="Arial" w:eastAsia="Times New Roman" w:hAnsi="Arial" w:cs="Arial"/>
                            <w:color w:val="000000"/>
                            <w:sz w:val="21"/>
                            <w:szCs w:val="21"/>
                          </w:rPr>
                          <w:t>bachelors</w:t>
                        </w:r>
                        <w:proofErr w:type="spellEnd"/>
                        <w:proofErr w:type="gramEnd"/>
                        <w:r w:rsidRPr="00B82D75">
                          <w:rPr>
                            <w:rFonts w:ascii="Arial" w:eastAsia="Times New Roman" w:hAnsi="Arial" w:cs="Arial"/>
                            <w:color w:val="000000"/>
                            <w:sz w:val="21"/>
                            <w:szCs w:val="21"/>
                          </w:rPr>
                          <w:t xml:space="preserve"> degree should finish within 5 years; at least 80% of students admitted with a </w:t>
                        </w:r>
                        <w:proofErr w:type="spellStart"/>
                        <w:r w:rsidRPr="00B82D75">
                          <w:rPr>
                            <w:rFonts w:ascii="Arial" w:eastAsia="Times New Roman" w:hAnsi="Arial" w:cs="Arial"/>
                            <w:color w:val="000000"/>
                            <w:sz w:val="21"/>
                            <w:szCs w:val="21"/>
                          </w:rPr>
                          <w:t>masters</w:t>
                        </w:r>
                        <w:proofErr w:type="spellEnd"/>
                        <w:r w:rsidRPr="00B82D75">
                          <w:rPr>
                            <w:rFonts w:ascii="Arial" w:eastAsia="Times New Roman" w:hAnsi="Arial" w:cs="Arial"/>
                            <w:color w:val="000000"/>
                            <w:sz w:val="21"/>
                            <w:szCs w:val="21"/>
                          </w:rPr>
                          <w:t xml:space="preserve"> degree in statistics should finish within 4 years.</w:t>
                        </w:r>
                      </w:p>
                    </w:tc>
                  </w:tr>
                  <w:tr w:rsidR="00B82D75" w:rsidRPr="00B82D75" w14:paraId="51336166" w14:textId="77777777">
                    <w:trPr>
                      <w:tblCellSpacing w:w="15" w:type="dxa"/>
                    </w:trPr>
                    <w:tc>
                      <w:tcPr>
                        <w:tcW w:w="0" w:type="auto"/>
                        <w:hideMark/>
                      </w:tcPr>
                      <w:p w14:paraId="74677DF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Methods</w:t>
                        </w:r>
                      </w:p>
                    </w:tc>
                    <w:tc>
                      <w:tcPr>
                        <w:tcW w:w="0" w:type="auto"/>
                        <w:hideMark/>
                      </w:tcPr>
                      <w:p w14:paraId="415767BC"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34195B51" w14:textId="77777777">
                    <w:trPr>
                      <w:tblCellSpacing w:w="15" w:type="dxa"/>
                    </w:trPr>
                    <w:tc>
                      <w:tcPr>
                        <w:tcW w:w="0" w:type="auto"/>
                        <w:gridSpan w:val="2"/>
                        <w:hideMark/>
                      </w:tcPr>
                      <w:p w14:paraId="3B2C788C"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Every year the Graduate Director will compile time-to-degree information for each student, as well as information on ABD students, and present this information at the annual departmental retreat in May.  If trends in increasing time to degree or increasing numbers of ABD students are apparent, measures will be discussed and enacted to help students more expeditiously finish and defend their dissertations.</w:t>
                        </w:r>
                      </w:p>
                    </w:tc>
                  </w:tr>
                  <w:tr w:rsidR="00B82D75" w:rsidRPr="00B82D75" w14:paraId="35F8840E" w14:textId="77777777">
                    <w:trPr>
                      <w:tblCellSpacing w:w="15" w:type="dxa"/>
                    </w:trPr>
                    <w:tc>
                      <w:tcPr>
                        <w:tcW w:w="0" w:type="auto"/>
                        <w:hideMark/>
                      </w:tcPr>
                      <w:p w14:paraId="4BD0FEB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Results</w:t>
                        </w:r>
                      </w:p>
                    </w:tc>
                    <w:tc>
                      <w:tcPr>
                        <w:tcW w:w="0" w:type="auto"/>
                        <w:hideMark/>
                      </w:tcPr>
                      <w:p w14:paraId="2BC815C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7CB6686C" w14:textId="77777777">
                    <w:trPr>
                      <w:tblCellSpacing w:w="15" w:type="dxa"/>
                    </w:trPr>
                    <w:tc>
                      <w:tcPr>
                        <w:tcW w:w="0" w:type="auto"/>
                        <w:gridSpan w:val="2"/>
                        <w:hideMark/>
                      </w:tcPr>
                      <w:p w14:paraId="19EEE43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For academic year 2016-2017, we have an 8</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student continuing in the program.  Two 7</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students withdrew from the program without defending a proposal, while one 7</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student returned to campus to defend his thesis.  Five 6</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students will complete their thesis by Summer 2017, while one continues in the program while working full-time.  One fifth-year student will graduate this academic year, while another needs to identify a new advisor.  One 4</w:t>
                        </w:r>
                        <w:r w:rsidRPr="00B82D75">
                          <w:rPr>
                            <w:rFonts w:ascii="Arial" w:eastAsia="Times New Roman" w:hAnsi="Arial" w:cs="Arial"/>
                            <w:color w:val="000000"/>
                            <w:sz w:val="21"/>
                            <w:szCs w:val="21"/>
                            <w:vertAlign w:val="superscript"/>
                          </w:rPr>
                          <w:t>th</w:t>
                        </w:r>
                        <w:r w:rsidRPr="00B82D75">
                          <w:rPr>
                            <w:rFonts w:ascii="Arial" w:eastAsia="Times New Roman" w:hAnsi="Arial" w:cs="Arial"/>
                            <w:color w:val="000000"/>
                            <w:sz w:val="21"/>
                            <w:szCs w:val="21"/>
                          </w:rPr>
                          <w:t> year student will graduate this year.</w:t>
                        </w:r>
                      </w:p>
                    </w:tc>
                  </w:tr>
                  <w:tr w:rsidR="00B82D75" w:rsidRPr="00B82D75" w14:paraId="08CCC7DA" w14:textId="77777777">
                    <w:trPr>
                      <w:tblCellSpacing w:w="15" w:type="dxa"/>
                    </w:trPr>
                    <w:tc>
                      <w:tcPr>
                        <w:tcW w:w="0" w:type="auto"/>
                        <w:hideMark/>
                      </w:tcPr>
                      <w:p w14:paraId="7CD0F1E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Use of Results</w:t>
                        </w:r>
                      </w:p>
                    </w:tc>
                    <w:tc>
                      <w:tcPr>
                        <w:tcW w:w="0" w:type="auto"/>
                        <w:hideMark/>
                      </w:tcPr>
                      <w:p w14:paraId="76DC9F0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4793B9CB" w14:textId="77777777">
                    <w:trPr>
                      <w:tblCellSpacing w:w="15" w:type="dxa"/>
                    </w:trPr>
                    <w:tc>
                      <w:tcPr>
                        <w:tcW w:w="0" w:type="auto"/>
                        <w:gridSpan w:val="2"/>
                        <w:hideMark/>
                      </w:tcPr>
                      <w:p w14:paraId="331BAB9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In general, we do not come close to our goal of a median time to graduation of 5 years for incoming bachelor’s students and 4 years for incoming MS students.  Attrition is low, and even students who leave USC for work meet with some success so long as they defend their proposal before they depart.  At our retreat, we asked the graduate committee to review policies for the proposal defense and our dissertation preparation courses to ensure forward progress on students’ theses.</w:t>
                        </w:r>
                      </w:p>
                    </w:tc>
                  </w:tr>
                </w:tbl>
                <w:p w14:paraId="094B821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59D9DE0F" w14:textId="77777777">
              <w:trPr>
                <w:tblCellSpacing w:w="0" w:type="dxa"/>
              </w:trPr>
              <w:tc>
                <w:tcPr>
                  <w:tcW w:w="0" w:type="auto"/>
                  <w:hideMark/>
                </w:tcPr>
                <w:p w14:paraId="5303E7B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II.</w:t>
                  </w:r>
                </w:p>
              </w:tc>
              <w:tc>
                <w:tcPr>
                  <w:tcW w:w="0" w:type="auto"/>
                  <w:gridSpan w:val="3"/>
                  <w:hideMark/>
                </w:tcPr>
                <w:p w14:paraId="57DD24CE"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FUTURE ASSESSMENT PLAN FOR 2017 - 2018</w:t>
                  </w:r>
                </w:p>
              </w:tc>
            </w:tr>
            <w:tr w:rsidR="00B82D75" w:rsidRPr="00B82D75" w14:paraId="4261308B" w14:textId="77777777">
              <w:trPr>
                <w:tblCellSpacing w:w="0" w:type="dxa"/>
              </w:trPr>
              <w:tc>
                <w:tcPr>
                  <w:tcW w:w="0" w:type="auto"/>
                  <w:hideMark/>
                </w:tcPr>
                <w:p w14:paraId="1628BC8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33D4F05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Mission Statement</w:t>
                  </w:r>
                </w:p>
              </w:tc>
              <w:tc>
                <w:tcPr>
                  <w:tcW w:w="0" w:type="auto"/>
                  <w:hideMark/>
                </w:tcPr>
                <w:p w14:paraId="0B15120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00AC10C3" w14:textId="77777777">
              <w:trPr>
                <w:tblCellSpacing w:w="0" w:type="dxa"/>
              </w:trPr>
              <w:tc>
                <w:tcPr>
                  <w:tcW w:w="0" w:type="auto"/>
                  <w:hideMark/>
                </w:tcPr>
                <w:p w14:paraId="25901F7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3"/>
                  <w:hideMark/>
                </w:tcPr>
                <w:p w14:paraId="2513B8F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program seeks to serve its students and society by offering a high-quality graduate experience that prepares future statistics faculty members and research statisticians for business, industry, and government. It strives to produce graduates who will substantially advance the state of knowledge in the field.</w:t>
                  </w:r>
                </w:p>
              </w:tc>
            </w:tr>
            <w:tr w:rsidR="00B82D75" w:rsidRPr="00B82D75" w14:paraId="305E4B72" w14:textId="77777777">
              <w:trPr>
                <w:tblCellSpacing w:w="0" w:type="dxa"/>
              </w:trPr>
              <w:tc>
                <w:tcPr>
                  <w:tcW w:w="0" w:type="auto"/>
                  <w:gridSpan w:val="4"/>
                  <w:vAlign w:val="center"/>
                  <w:hideMark/>
                </w:tcPr>
                <w:p w14:paraId="640BB65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 </w:t>
                  </w:r>
                </w:p>
              </w:tc>
            </w:tr>
            <w:tr w:rsidR="00B82D75" w:rsidRPr="00B82D75" w14:paraId="0339CE81" w14:textId="77777777">
              <w:trPr>
                <w:tblCellSpacing w:w="0" w:type="dxa"/>
              </w:trPr>
              <w:tc>
                <w:tcPr>
                  <w:tcW w:w="0" w:type="auto"/>
                  <w:hideMark/>
                </w:tcPr>
                <w:p w14:paraId="2C8129A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7228ED2C"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Goal 1.</w:t>
                  </w:r>
                </w:p>
              </w:tc>
              <w:tc>
                <w:tcPr>
                  <w:tcW w:w="0" w:type="auto"/>
                  <w:hideMark/>
                </w:tcPr>
                <w:p w14:paraId="271F9F9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79D8AA2C" w14:textId="77777777">
              <w:trPr>
                <w:tblCellSpacing w:w="0" w:type="dxa"/>
              </w:trPr>
              <w:tc>
                <w:tcPr>
                  <w:tcW w:w="0" w:type="auto"/>
                  <w:hideMark/>
                </w:tcPr>
                <w:p w14:paraId="5BB3E74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3"/>
                  <w:hideMark/>
                </w:tcPr>
                <w:p w14:paraId="1FBB91E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Doctor of Philosophy in Statistics is designed to prepare the student to teach statistics at the collegiate level, to do independent research, and/or work as a lead statistician in business or industry.</w:t>
                  </w:r>
                </w:p>
              </w:tc>
            </w:tr>
            <w:tr w:rsidR="00B82D75" w:rsidRPr="00B82D75" w14:paraId="2251DB30" w14:textId="77777777">
              <w:trPr>
                <w:tblCellSpacing w:w="0" w:type="dxa"/>
              </w:trPr>
              <w:tc>
                <w:tcPr>
                  <w:tcW w:w="0" w:type="auto"/>
                  <w:hideMark/>
                </w:tcPr>
                <w:p w14:paraId="08054BBB"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4E36EE38"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Curriculum</w:t>
                  </w:r>
                </w:p>
              </w:tc>
              <w:tc>
                <w:tcPr>
                  <w:tcW w:w="0" w:type="auto"/>
                  <w:hideMark/>
                </w:tcPr>
                <w:p w14:paraId="2C5DB768"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2EB77EF0" w14:textId="77777777">
              <w:trPr>
                <w:tblCellSpacing w:w="0" w:type="dxa"/>
              </w:trPr>
              <w:tc>
                <w:tcPr>
                  <w:tcW w:w="250" w:type="pct"/>
                  <w:hideMark/>
                </w:tcPr>
                <w:p w14:paraId="3952821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3"/>
                  <w:hideMark/>
                </w:tcPr>
                <w:p w14:paraId="2D54F13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Beyond the coursework required for the </w:t>
                  </w:r>
                  <w:proofErr w:type="gramStart"/>
                  <w:r w:rsidRPr="00B82D75">
                    <w:rPr>
                      <w:rFonts w:ascii="Arial" w:eastAsia="Times New Roman" w:hAnsi="Arial" w:cs="Arial"/>
                      <w:color w:val="000000"/>
                      <w:sz w:val="21"/>
                      <w:szCs w:val="21"/>
                    </w:rPr>
                    <w:t>master of science</w:t>
                  </w:r>
                  <w:proofErr w:type="gramEnd"/>
                  <w:r w:rsidRPr="00B82D75">
                    <w:rPr>
                      <w:rFonts w:ascii="Arial" w:eastAsia="Times New Roman" w:hAnsi="Arial" w:cs="Arial"/>
                      <w:color w:val="000000"/>
                      <w:sz w:val="21"/>
                      <w:szCs w:val="21"/>
                    </w:rPr>
                    <w:t>, tested in the Ph.D. qualifying exam, candidates for the Ph.D. are required to take additional advanced coursework in statistical theory, including: STAT 810 – Probability Theory I, STAT 811 – Probability Theory II, 721 – Stochastic Processes, STAT 822 – Advanced Statistical Inference, STAT 823 – Large Sample Theory, STAT 824 - Nonparametric Inference, and STAT 740 – Statistical Computing. They must successfully complete a doctoral dissertation that adds to the body of knowledge in the field, orally present that dissertation, and successfully pass an oral exam on the topics of the dissertation administered by at least four faculty members. Students who express the desire to pursue careers in academia are afforded the opportunity to teach, including weekly support meetings with the course coordinator.</w:t>
                  </w:r>
                </w:p>
              </w:tc>
            </w:tr>
            <w:tr w:rsidR="00B82D75" w:rsidRPr="00B82D75" w14:paraId="590B9011" w14:textId="77777777">
              <w:trPr>
                <w:tblCellSpacing w:w="0" w:type="dxa"/>
              </w:trPr>
              <w:tc>
                <w:tcPr>
                  <w:tcW w:w="0" w:type="auto"/>
                  <w:hideMark/>
                </w:tcPr>
                <w:p w14:paraId="508D857E"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6047177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225C81F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1.</w:t>
                  </w:r>
                </w:p>
              </w:tc>
              <w:tc>
                <w:tcPr>
                  <w:tcW w:w="0" w:type="auto"/>
                  <w:shd w:val="clear" w:color="auto" w:fill="CCCCCC"/>
                  <w:hideMark/>
                </w:tcPr>
                <w:p w14:paraId="51F2574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24099B23" w14:textId="77777777">
              <w:trPr>
                <w:tblCellSpacing w:w="0" w:type="dxa"/>
              </w:trPr>
              <w:tc>
                <w:tcPr>
                  <w:tcW w:w="0" w:type="auto"/>
                  <w:hideMark/>
                </w:tcPr>
                <w:p w14:paraId="2BA2C26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1E07D3C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2D54A9F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recipient should have solid knowledge of the advanced theory of statistics and probability.</w:t>
                  </w:r>
                </w:p>
              </w:tc>
            </w:tr>
            <w:tr w:rsidR="00B82D75" w:rsidRPr="00B82D75" w14:paraId="0211E6A6" w14:textId="77777777">
              <w:trPr>
                <w:tblCellSpacing w:w="0" w:type="dxa"/>
              </w:trPr>
              <w:tc>
                <w:tcPr>
                  <w:tcW w:w="0" w:type="auto"/>
                  <w:hideMark/>
                </w:tcPr>
                <w:p w14:paraId="1F9153D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254A864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2036B995" w14:textId="77777777">
                    <w:trPr>
                      <w:tblCellSpacing w:w="15" w:type="dxa"/>
                    </w:trPr>
                    <w:tc>
                      <w:tcPr>
                        <w:tcW w:w="3000" w:type="pct"/>
                        <w:hideMark/>
                      </w:tcPr>
                      <w:p w14:paraId="370DE81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2B8ECC0C"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679E1C7D" w14:textId="77777777">
                    <w:trPr>
                      <w:tblCellSpacing w:w="15" w:type="dxa"/>
                    </w:trPr>
                    <w:tc>
                      <w:tcPr>
                        <w:tcW w:w="0" w:type="auto"/>
                        <w:gridSpan w:val="2"/>
                        <w:hideMark/>
                      </w:tcPr>
                      <w:p w14:paraId="6E7A5F12"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xml:space="preserve">Ph.D. students should successfully demonstrate mastery of the advanced theory of statistics and probability in the seven advanced courses expressly designed to cover the major topics in the area at the level appropriate for the Ph.D.  Professors of Ph.D. required courses should rank at least 80% of students completing their courses as "adequate" in terms of mastery of the material.  Students completing the Ph.D. theory courses should have confidence in their </w:t>
                        </w:r>
                        <w:proofErr w:type="spellStart"/>
                        <w:proofErr w:type="gramStart"/>
                        <w:r w:rsidRPr="00B82D75">
                          <w:rPr>
                            <w:rFonts w:ascii="Arial" w:eastAsia="Times New Roman" w:hAnsi="Arial" w:cs="Arial"/>
                            <w:color w:val="000000"/>
                            <w:sz w:val="21"/>
                            <w:szCs w:val="21"/>
                          </w:rPr>
                          <w:t>knowledge,and</w:t>
                        </w:r>
                        <w:proofErr w:type="spellEnd"/>
                        <w:proofErr w:type="gramEnd"/>
                        <w:r w:rsidRPr="00B82D75">
                          <w:rPr>
                            <w:rFonts w:ascii="Arial" w:eastAsia="Times New Roman" w:hAnsi="Arial" w:cs="Arial"/>
                            <w:color w:val="000000"/>
                            <w:sz w:val="21"/>
                            <w:szCs w:val="21"/>
                          </w:rPr>
                          <w:t xml:space="preserve">  particularly in their ability to modify concepts and arguments presented in these courses to solve new methodological bottlenecks.  Therefore, the median score on the exit survey question "How do you assess your ability to derive and interpret results in mathematical statistics?" should be at least "very good."</w:t>
                        </w:r>
                      </w:p>
                    </w:tc>
                  </w:tr>
                  <w:tr w:rsidR="00B82D75" w:rsidRPr="00B82D75" w14:paraId="2EF1F7C3" w14:textId="77777777">
                    <w:trPr>
                      <w:tblCellSpacing w:w="15" w:type="dxa"/>
                    </w:trPr>
                    <w:tc>
                      <w:tcPr>
                        <w:tcW w:w="0" w:type="auto"/>
                        <w:hideMark/>
                      </w:tcPr>
                      <w:p w14:paraId="37B7D76E"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Methods</w:t>
                        </w:r>
                      </w:p>
                    </w:tc>
                    <w:tc>
                      <w:tcPr>
                        <w:tcW w:w="0" w:type="auto"/>
                        <w:hideMark/>
                      </w:tcPr>
                      <w:p w14:paraId="22D05FA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7ADFD59C" w14:textId="77777777">
                    <w:trPr>
                      <w:tblCellSpacing w:w="15" w:type="dxa"/>
                    </w:trPr>
                    <w:tc>
                      <w:tcPr>
                        <w:tcW w:w="0" w:type="auto"/>
                        <w:gridSpan w:val="2"/>
                        <w:hideMark/>
                      </w:tcPr>
                      <w:p w14:paraId="13BABDD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Success in meeting this learning outcome is evaluated every third year (the next round is academic year 2017-2018). Information for this evaluation include the students’ demonstration of this knowledge through exams and coursework, a summary of each student's command over PhD core material as evidenced by their Comprehensive Examination, supplemented by the students’ impressions of their knowledge as evaluated by the graduate student exit survey.</w:t>
                        </w:r>
                      </w:p>
                      <w:p w14:paraId="7E12D92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professor(s) of STAT 810, 811, 721, 822, 823, 824, and 740 will evaluate student performance in the form of a written summary of the strengths and weaknesses of that cohort of students in terms of the course's subject matter.  Specifically, each professor will delineate the most important areas in which students met or exceeded the expectations of the course's learning outcomes as listed in the course syllabus.  As a summary measure, each professor will provide a proportion of students completing their course that are at least "adequate" in terms of mastery of the material.</w:t>
                        </w:r>
                      </w:p>
                      <w:p w14:paraId="34223990"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Each student's Comprehensive Examination Committee will provide a brief written summary of the student's strengths and weaknesses in terms of PhD core sequence material in relation to the student's research topic(s) on the Statistics Department Comprehensive Examination (</w:t>
                        </w:r>
                        <w:proofErr w:type="gramStart"/>
                        <w:r w:rsidRPr="00B82D75">
                          <w:rPr>
                            <w:rFonts w:ascii="Arial" w:eastAsia="Times New Roman" w:hAnsi="Arial" w:cs="Arial"/>
                            <w:color w:val="000000"/>
                            <w:sz w:val="21"/>
                            <w:szCs w:val="21"/>
                          </w:rPr>
                          <w:t>i.e.</w:t>
                        </w:r>
                        <w:proofErr w:type="gramEnd"/>
                        <w:r w:rsidRPr="00B82D75">
                          <w:rPr>
                            <w:rFonts w:ascii="Arial" w:eastAsia="Times New Roman" w:hAnsi="Arial" w:cs="Arial"/>
                            <w:color w:val="000000"/>
                            <w:sz w:val="21"/>
                            <w:szCs w:val="21"/>
                          </w:rPr>
                          <w:t xml:space="preserve"> Dissertation Proposal) form.</w:t>
                        </w:r>
                      </w:p>
                      <w:p w14:paraId="2007155E"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student responses to the exit survey question: “How do you assess your ability to derive and interpret results in mathematical statistics?”</w:t>
                        </w:r>
                      </w:p>
                      <w:p w14:paraId="4ACB78A3"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These results will be presented to the department’s graduate committee who will prepare a report on the findings, along with initial suggestions for further refinement or improvement of the program if necessary. The committee report will be presented to the entire department as an agenda item at the annual department retreat.</w:t>
                        </w:r>
                      </w:p>
                    </w:tc>
                  </w:tr>
                </w:tbl>
                <w:p w14:paraId="7812BE0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0EB961AD" w14:textId="77777777">
              <w:trPr>
                <w:tblCellSpacing w:w="0" w:type="dxa"/>
              </w:trPr>
              <w:tc>
                <w:tcPr>
                  <w:tcW w:w="0" w:type="auto"/>
                  <w:hideMark/>
                </w:tcPr>
                <w:p w14:paraId="03CA0D6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 </w:t>
                  </w:r>
                </w:p>
              </w:tc>
              <w:tc>
                <w:tcPr>
                  <w:tcW w:w="0" w:type="auto"/>
                  <w:hideMark/>
                </w:tcPr>
                <w:p w14:paraId="7970EA8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7BE14FA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2.</w:t>
                  </w:r>
                </w:p>
              </w:tc>
              <w:tc>
                <w:tcPr>
                  <w:tcW w:w="0" w:type="auto"/>
                  <w:shd w:val="clear" w:color="auto" w:fill="CCCCCC"/>
                  <w:hideMark/>
                </w:tcPr>
                <w:p w14:paraId="0DB909CB"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748558F" w14:textId="77777777">
              <w:trPr>
                <w:tblCellSpacing w:w="0" w:type="dxa"/>
              </w:trPr>
              <w:tc>
                <w:tcPr>
                  <w:tcW w:w="0" w:type="auto"/>
                  <w:hideMark/>
                </w:tcPr>
                <w:p w14:paraId="78E4F4C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028F425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4CF111E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recipient should have the ability to substantially add to the body of knowledge in the field in statistics.</w:t>
                  </w:r>
                </w:p>
              </w:tc>
            </w:tr>
            <w:tr w:rsidR="00B82D75" w:rsidRPr="00B82D75" w14:paraId="456BC67A" w14:textId="77777777">
              <w:trPr>
                <w:tblCellSpacing w:w="0" w:type="dxa"/>
              </w:trPr>
              <w:tc>
                <w:tcPr>
                  <w:tcW w:w="0" w:type="auto"/>
                  <w:hideMark/>
                </w:tcPr>
                <w:p w14:paraId="0D0737D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68F6650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471EFAC8" w14:textId="77777777">
                    <w:trPr>
                      <w:tblCellSpacing w:w="15" w:type="dxa"/>
                    </w:trPr>
                    <w:tc>
                      <w:tcPr>
                        <w:tcW w:w="3000" w:type="pct"/>
                        <w:hideMark/>
                      </w:tcPr>
                      <w:p w14:paraId="4F8FD98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5C97D04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0EE70305" w14:textId="77777777">
                    <w:trPr>
                      <w:tblCellSpacing w:w="15" w:type="dxa"/>
                    </w:trPr>
                    <w:tc>
                      <w:tcPr>
                        <w:tcW w:w="0" w:type="auto"/>
                        <w:gridSpan w:val="2"/>
                        <w:hideMark/>
                      </w:tcPr>
                      <w:p w14:paraId="0A879836"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students’ research should be presented to the field at large through publication in statistical journals and presentations at national research meetings of statisticians, including the publication of the dissertation.  At least 80% of graduated Ph.D. students should have one or more major publications stemming from their dissertation in a mainstream statistics journal within three years of their defense.  In addition, the median score on the exit survey question "How do you assess your ability to develop statistical work that is publishable in a reputable journal of the field?" should be at least "very good".</w:t>
                        </w:r>
                      </w:p>
                    </w:tc>
                  </w:tr>
                  <w:tr w:rsidR="00B82D75" w:rsidRPr="00B82D75" w14:paraId="4496BADE" w14:textId="77777777">
                    <w:trPr>
                      <w:tblCellSpacing w:w="15" w:type="dxa"/>
                    </w:trPr>
                    <w:tc>
                      <w:tcPr>
                        <w:tcW w:w="0" w:type="auto"/>
                        <w:hideMark/>
                      </w:tcPr>
                      <w:p w14:paraId="4F6BA18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Methods</w:t>
                        </w:r>
                      </w:p>
                    </w:tc>
                    <w:tc>
                      <w:tcPr>
                        <w:tcW w:w="0" w:type="auto"/>
                        <w:hideMark/>
                      </w:tcPr>
                      <w:p w14:paraId="6F2048D3"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0F539971" w14:textId="77777777">
                    <w:trPr>
                      <w:tblCellSpacing w:w="15" w:type="dxa"/>
                    </w:trPr>
                    <w:tc>
                      <w:tcPr>
                        <w:tcW w:w="0" w:type="auto"/>
                        <w:gridSpan w:val="2"/>
                        <w:hideMark/>
                      </w:tcPr>
                      <w:p w14:paraId="658BA5F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Success in meeting this learning outcome is evaluated every third year (next round will be academic year 2016-2017). The major source of information for evaluating this criterion is the actual research productivity of the current Ph.D. students in the department and those who have graduated within the past three years.  The expectation is that each successful PhD student will eventually publish at least one substantial paper from their dissertation, and ideally two or more.  Therefore, upon defense of the PhD, it is expected that each graduate student will have at least one paper submitted for publication.  This information on raw productivity (submitted papers) and quality (accepted papers) is supplemented by the students’ impressions of their capabilities as evaluated by the graduate student exit survey, and the evaluation of the dissertation research at the time of the defense by the final examination committee.</w:t>
                        </w:r>
                      </w:p>
                      <w:p w14:paraId="396C0F30"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collect the titles of publications (and names of journals) made by the current Ph.D. students in the department and those graduated within the past three years.</w:t>
                        </w:r>
                      </w:p>
                      <w:p w14:paraId="018F7F54"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student responses to the exit survey question: “How do you assess your ability to develop statistical work that is publishable in a reputable journal of the field.”</w:t>
                        </w:r>
                      </w:p>
                      <w:p w14:paraId="791479A7"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Each Ph.D. final examination committee shall produce summaries of the quality of research in the student dissertation. These reports are collected by the assessment coordinator.</w:t>
                        </w:r>
                      </w:p>
                      <w:p w14:paraId="218BE818"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These results will be presented to the department’s graduate committee who will prepare a report on the findings, along with initial suggestions for further refinement or improvement of the program if necessary. The committee report will be presented to the entire department as an agenda item at the annual department retreat.</w:t>
                        </w:r>
                      </w:p>
                    </w:tc>
                  </w:tr>
                </w:tbl>
                <w:p w14:paraId="15324AC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07D00C21" w14:textId="77777777">
              <w:trPr>
                <w:tblCellSpacing w:w="0" w:type="dxa"/>
              </w:trPr>
              <w:tc>
                <w:tcPr>
                  <w:tcW w:w="0" w:type="auto"/>
                  <w:hideMark/>
                </w:tcPr>
                <w:p w14:paraId="52AA1EC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lastRenderedPageBreak/>
                    <w:t> </w:t>
                  </w:r>
                </w:p>
              </w:tc>
              <w:tc>
                <w:tcPr>
                  <w:tcW w:w="0" w:type="auto"/>
                  <w:hideMark/>
                </w:tcPr>
                <w:p w14:paraId="636B4D59"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26832AB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3.</w:t>
                  </w:r>
                </w:p>
              </w:tc>
              <w:tc>
                <w:tcPr>
                  <w:tcW w:w="0" w:type="auto"/>
                  <w:shd w:val="clear" w:color="auto" w:fill="CCCCCC"/>
                  <w:hideMark/>
                </w:tcPr>
                <w:p w14:paraId="110BABF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0CA590CA" w14:textId="77777777">
              <w:trPr>
                <w:tblCellSpacing w:w="0" w:type="dxa"/>
              </w:trPr>
              <w:tc>
                <w:tcPr>
                  <w:tcW w:w="0" w:type="auto"/>
                  <w:hideMark/>
                </w:tcPr>
                <w:p w14:paraId="536DFDB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3DAB4A5E"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6F50DFC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Ph.D. recipient who desires a career in academia should have the ability to teach at the collegiate level.</w:t>
                  </w:r>
                </w:p>
              </w:tc>
            </w:tr>
            <w:tr w:rsidR="00B82D75" w:rsidRPr="00B82D75" w14:paraId="6113813F" w14:textId="77777777">
              <w:trPr>
                <w:tblCellSpacing w:w="0" w:type="dxa"/>
              </w:trPr>
              <w:tc>
                <w:tcPr>
                  <w:tcW w:w="0" w:type="auto"/>
                  <w:hideMark/>
                </w:tcPr>
                <w:p w14:paraId="46B0518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75356297"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6DF4C4FB" w14:textId="77777777">
                    <w:trPr>
                      <w:tblCellSpacing w:w="15" w:type="dxa"/>
                    </w:trPr>
                    <w:tc>
                      <w:tcPr>
                        <w:tcW w:w="3000" w:type="pct"/>
                        <w:hideMark/>
                      </w:tcPr>
                      <w:p w14:paraId="1C1428ED"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4C72DF7E"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413C47ED" w14:textId="77777777">
                    <w:trPr>
                      <w:tblCellSpacing w:w="15" w:type="dxa"/>
                    </w:trPr>
                    <w:tc>
                      <w:tcPr>
                        <w:tcW w:w="0" w:type="auto"/>
                        <w:gridSpan w:val="2"/>
                        <w:hideMark/>
                      </w:tcPr>
                      <w:p w14:paraId="6235B3B6"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Ph.D. students who express the desire to pursue a career in academia should be given the opportunity and support to build their vita by successfully teaching a course as its instructor of record. At least 90% of students should be rated as "Good" in faculty evaluations and get an overall rating of 3.5 out of 5 in student evaluations.</w:t>
                        </w:r>
                      </w:p>
                    </w:tc>
                  </w:tr>
                  <w:tr w:rsidR="00B82D75" w:rsidRPr="00B82D75" w14:paraId="5DE23F9A" w14:textId="77777777">
                    <w:trPr>
                      <w:tblCellSpacing w:w="15" w:type="dxa"/>
                    </w:trPr>
                    <w:tc>
                      <w:tcPr>
                        <w:tcW w:w="0" w:type="auto"/>
                        <w:hideMark/>
                      </w:tcPr>
                      <w:p w14:paraId="40A01DC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Methods</w:t>
                        </w:r>
                      </w:p>
                    </w:tc>
                    <w:tc>
                      <w:tcPr>
                        <w:tcW w:w="0" w:type="auto"/>
                        <w:hideMark/>
                      </w:tcPr>
                      <w:p w14:paraId="59A3042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52AD438F" w14:textId="77777777">
                    <w:trPr>
                      <w:tblCellSpacing w:w="15" w:type="dxa"/>
                    </w:trPr>
                    <w:tc>
                      <w:tcPr>
                        <w:tcW w:w="0" w:type="auto"/>
                        <w:gridSpan w:val="2"/>
                        <w:hideMark/>
                      </w:tcPr>
                      <w:p w14:paraId="4BAEDA13"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Success in meeting this learning outcome is evaluated every third year (the next will be academic year 2015-2016). The two major sources of information for evaluating this criterion are the faculty evaluations and student evaluations of the graduate teaching assistants in the program. This information is supplemented by the students’ impressions of their capabilities as evaluated by the graduate student exit survey.</w:t>
                        </w:r>
                      </w:p>
                      <w:p w14:paraId="0DF0F0A9"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all faculty evaluations and student evaluations of the graduate teaching assistants over the previous year.</w:t>
                        </w:r>
                      </w:p>
                      <w:p w14:paraId="6F4D2A21"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prepare a summary of student responses to the exit survey question: “If you are interested in pursuing a career in academia, how do you assess your ability to teach statistics at the collegiate level.”</w:t>
                        </w:r>
                      </w:p>
                      <w:p w14:paraId="7E5630AA"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 assessment coordinator will summarize job placements for PhD students graduating during the last three years.</w:t>
                        </w:r>
                      </w:p>
                      <w:p w14:paraId="4B95F38D"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These results will be presented to the department’s graduate committee who will prepare a report on the findings, along with initial suggestions for further refinement or improvement of the program if necessary. The committee report will be presented to the entire department as an agenda item at the annual department retreat.</w:t>
                        </w:r>
                      </w:p>
                    </w:tc>
                  </w:tr>
                </w:tbl>
                <w:p w14:paraId="5C05AEE5"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r w:rsidR="00B82D75" w:rsidRPr="00B82D75" w14:paraId="0EC30B2F" w14:textId="77777777">
              <w:trPr>
                <w:tblCellSpacing w:w="0" w:type="dxa"/>
              </w:trPr>
              <w:tc>
                <w:tcPr>
                  <w:tcW w:w="0" w:type="auto"/>
                  <w:hideMark/>
                </w:tcPr>
                <w:p w14:paraId="445249F8"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23EC812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shd w:val="clear" w:color="auto" w:fill="CCCCCC"/>
                  <w:hideMark/>
                </w:tcPr>
                <w:p w14:paraId="432317F2"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Learning Outcome 4.</w:t>
                  </w:r>
                </w:p>
              </w:tc>
              <w:tc>
                <w:tcPr>
                  <w:tcW w:w="0" w:type="auto"/>
                  <w:shd w:val="clear" w:color="auto" w:fill="CCCCCC"/>
                  <w:hideMark/>
                </w:tcPr>
                <w:p w14:paraId="345A7EE6"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0AC0A9C1" w14:textId="77777777">
              <w:trPr>
                <w:tblCellSpacing w:w="0" w:type="dxa"/>
              </w:trPr>
              <w:tc>
                <w:tcPr>
                  <w:tcW w:w="0" w:type="auto"/>
                  <w:hideMark/>
                </w:tcPr>
                <w:p w14:paraId="6B90C47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2BCD1000"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p w14:paraId="74EB87AB"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Doctoral students should complete all required coursework, pass the qualifying exam at the Ph.D. level, then propose, write, and defend their dissertation in a timely manner.</w:t>
                  </w:r>
                </w:p>
              </w:tc>
            </w:tr>
            <w:tr w:rsidR="00B82D75" w:rsidRPr="00B82D75" w14:paraId="64BE6B6A" w14:textId="77777777">
              <w:trPr>
                <w:tblCellSpacing w:w="0" w:type="dxa"/>
              </w:trPr>
              <w:tc>
                <w:tcPr>
                  <w:tcW w:w="0" w:type="auto"/>
                  <w:hideMark/>
                </w:tcPr>
                <w:p w14:paraId="1C3D03B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hideMark/>
                </w:tcPr>
                <w:p w14:paraId="6BC3681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4831"/>
                    <w:gridCol w:w="3235"/>
                  </w:tblGrid>
                  <w:tr w:rsidR="00B82D75" w:rsidRPr="00B82D75" w14:paraId="71D6966A" w14:textId="77777777">
                    <w:trPr>
                      <w:tblCellSpacing w:w="15" w:type="dxa"/>
                    </w:trPr>
                    <w:tc>
                      <w:tcPr>
                        <w:tcW w:w="3000" w:type="pct"/>
                        <w:hideMark/>
                      </w:tcPr>
                      <w:p w14:paraId="427CABBF"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t>Measures and Criteria</w:t>
                        </w:r>
                      </w:p>
                    </w:tc>
                    <w:tc>
                      <w:tcPr>
                        <w:tcW w:w="0" w:type="auto"/>
                        <w:hideMark/>
                      </w:tcPr>
                      <w:p w14:paraId="43D58831"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7649796A" w14:textId="77777777">
                    <w:trPr>
                      <w:tblCellSpacing w:w="15" w:type="dxa"/>
                    </w:trPr>
                    <w:tc>
                      <w:tcPr>
                        <w:tcW w:w="0" w:type="auto"/>
                        <w:gridSpan w:val="2"/>
                        <w:hideMark/>
                      </w:tcPr>
                      <w:p w14:paraId="50555FCF"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Information on the time from admittance into the program to defense of the dissertation will be compiled for each student, including those that ultimately do not finish (</w:t>
                        </w:r>
                        <w:proofErr w:type="gramStart"/>
                        <w:r w:rsidRPr="00B82D75">
                          <w:rPr>
                            <w:rFonts w:ascii="Arial" w:eastAsia="Times New Roman" w:hAnsi="Arial" w:cs="Arial"/>
                            <w:color w:val="000000"/>
                            <w:sz w:val="21"/>
                            <w:szCs w:val="21"/>
                          </w:rPr>
                          <w:t>i.e.</w:t>
                        </w:r>
                        <w:proofErr w:type="gramEnd"/>
                        <w:r w:rsidRPr="00B82D75">
                          <w:rPr>
                            <w:rFonts w:ascii="Arial" w:eastAsia="Times New Roman" w:hAnsi="Arial" w:cs="Arial"/>
                            <w:color w:val="000000"/>
                            <w:sz w:val="21"/>
                            <w:szCs w:val="21"/>
                          </w:rPr>
                          <w:t xml:space="preserve"> are all-but-</w:t>
                        </w:r>
                        <w:proofErr w:type="spellStart"/>
                        <w:r w:rsidRPr="00B82D75">
                          <w:rPr>
                            <w:rFonts w:ascii="Arial" w:eastAsia="Times New Roman" w:hAnsi="Arial" w:cs="Arial"/>
                            <w:color w:val="000000"/>
                            <w:sz w:val="21"/>
                            <w:szCs w:val="21"/>
                          </w:rPr>
                          <w:t>disseration</w:t>
                        </w:r>
                        <w:proofErr w:type="spellEnd"/>
                        <w:r w:rsidRPr="00B82D75">
                          <w:rPr>
                            <w:rFonts w:ascii="Arial" w:eastAsia="Times New Roman" w:hAnsi="Arial" w:cs="Arial"/>
                            <w:color w:val="000000"/>
                            <w:sz w:val="21"/>
                            <w:szCs w:val="21"/>
                          </w:rPr>
                          <w:t xml:space="preserve">, or ABD).  At least 80% of students admitted with at most a </w:t>
                        </w:r>
                        <w:proofErr w:type="spellStart"/>
                        <w:proofErr w:type="gramStart"/>
                        <w:r w:rsidRPr="00B82D75">
                          <w:rPr>
                            <w:rFonts w:ascii="Arial" w:eastAsia="Times New Roman" w:hAnsi="Arial" w:cs="Arial"/>
                            <w:color w:val="000000"/>
                            <w:sz w:val="21"/>
                            <w:szCs w:val="21"/>
                          </w:rPr>
                          <w:t>bachelors</w:t>
                        </w:r>
                        <w:proofErr w:type="spellEnd"/>
                        <w:proofErr w:type="gramEnd"/>
                        <w:r w:rsidRPr="00B82D75">
                          <w:rPr>
                            <w:rFonts w:ascii="Arial" w:eastAsia="Times New Roman" w:hAnsi="Arial" w:cs="Arial"/>
                            <w:color w:val="000000"/>
                            <w:sz w:val="21"/>
                            <w:szCs w:val="21"/>
                          </w:rPr>
                          <w:t xml:space="preserve"> degree should finish within 5 years; at least 80% of students admitted with a </w:t>
                        </w:r>
                        <w:proofErr w:type="spellStart"/>
                        <w:r w:rsidRPr="00B82D75">
                          <w:rPr>
                            <w:rFonts w:ascii="Arial" w:eastAsia="Times New Roman" w:hAnsi="Arial" w:cs="Arial"/>
                            <w:color w:val="000000"/>
                            <w:sz w:val="21"/>
                            <w:szCs w:val="21"/>
                          </w:rPr>
                          <w:t>masters</w:t>
                        </w:r>
                        <w:proofErr w:type="spellEnd"/>
                        <w:r w:rsidRPr="00B82D75">
                          <w:rPr>
                            <w:rFonts w:ascii="Arial" w:eastAsia="Times New Roman" w:hAnsi="Arial" w:cs="Arial"/>
                            <w:color w:val="000000"/>
                            <w:sz w:val="21"/>
                            <w:szCs w:val="21"/>
                          </w:rPr>
                          <w:t xml:space="preserve"> degree in statistics should finish within 4 years.</w:t>
                        </w:r>
                      </w:p>
                    </w:tc>
                  </w:tr>
                  <w:tr w:rsidR="00B82D75" w:rsidRPr="00B82D75" w14:paraId="457974E0" w14:textId="77777777">
                    <w:trPr>
                      <w:tblCellSpacing w:w="15" w:type="dxa"/>
                    </w:trPr>
                    <w:tc>
                      <w:tcPr>
                        <w:tcW w:w="0" w:type="auto"/>
                        <w:hideMark/>
                      </w:tcPr>
                      <w:p w14:paraId="7BC3C2F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b/>
                            <w:bCs/>
                            <w:color w:val="000000"/>
                            <w:sz w:val="21"/>
                            <w:szCs w:val="21"/>
                          </w:rPr>
                          <w:lastRenderedPageBreak/>
                          <w:t>Methods</w:t>
                        </w:r>
                      </w:p>
                    </w:tc>
                    <w:tc>
                      <w:tcPr>
                        <w:tcW w:w="0" w:type="auto"/>
                        <w:hideMark/>
                      </w:tcPr>
                      <w:p w14:paraId="201AF6C4"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 </w:t>
                        </w:r>
                      </w:p>
                    </w:tc>
                  </w:tr>
                  <w:tr w:rsidR="00B82D75" w:rsidRPr="00B82D75" w14:paraId="2197A55F" w14:textId="77777777">
                    <w:trPr>
                      <w:tblCellSpacing w:w="15" w:type="dxa"/>
                    </w:trPr>
                    <w:tc>
                      <w:tcPr>
                        <w:tcW w:w="0" w:type="auto"/>
                        <w:gridSpan w:val="2"/>
                        <w:hideMark/>
                      </w:tcPr>
                      <w:p w14:paraId="5F858DA4" w14:textId="77777777" w:rsidR="00B82D75" w:rsidRPr="00B82D75" w:rsidRDefault="00B82D75" w:rsidP="00B82D75">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B82D75">
                          <w:rPr>
                            <w:rFonts w:ascii="Arial" w:eastAsia="Times New Roman" w:hAnsi="Arial" w:cs="Arial"/>
                            <w:color w:val="000000"/>
                            <w:sz w:val="21"/>
                            <w:szCs w:val="21"/>
                          </w:rPr>
                          <w:t>Every year the Graduate Director will compile time-to-degree information for each student, as well as information on ABD students, and present this information at the annual departmental retreat in May.  If trends in increasing time to degree or increasing numbers of ABD students are apparent, measures will be discussed and enacted to help students more expeditiously finish and defend their dissertations.</w:t>
                        </w:r>
                      </w:p>
                    </w:tc>
                  </w:tr>
                </w:tbl>
                <w:p w14:paraId="51AFEA5A" w14:textId="77777777" w:rsidR="00B82D75" w:rsidRPr="00B82D75" w:rsidRDefault="00B82D75" w:rsidP="00B82D75">
                  <w:pPr>
                    <w:framePr w:hSpace="45" w:wrap="around" w:vAnchor="text" w:hAnchor="text"/>
                    <w:spacing w:after="0" w:line="240" w:lineRule="auto"/>
                    <w:rPr>
                      <w:rFonts w:ascii="Arial" w:eastAsia="Times New Roman" w:hAnsi="Arial" w:cs="Arial"/>
                      <w:color w:val="000000"/>
                      <w:sz w:val="21"/>
                      <w:szCs w:val="21"/>
                    </w:rPr>
                  </w:pPr>
                </w:p>
              </w:tc>
            </w:tr>
          </w:tbl>
          <w:p w14:paraId="782BB0D9" w14:textId="77777777" w:rsidR="00B82D75" w:rsidRPr="00B82D75" w:rsidRDefault="00B82D75" w:rsidP="00B82D75">
            <w:pPr>
              <w:spacing w:after="0" w:line="240" w:lineRule="auto"/>
              <w:rPr>
                <w:rFonts w:ascii="Arial" w:eastAsia="Times New Roman" w:hAnsi="Arial" w:cs="Arial"/>
                <w:color w:val="000000"/>
                <w:sz w:val="21"/>
                <w:szCs w:val="21"/>
              </w:rPr>
            </w:pPr>
          </w:p>
        </w:tc>
      </w:tr>
    </w:tbl>
    <w:p w14:paraId="17A62BB8" w14:textId="77777777" w:rsidR="0015788E" w:rsidRDefault="00B82D75"/>
    <w:sectPr w:rsidR="00157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35EE"/>
    <w:multiLevelType w:val="multilevel"/>
    <w:tmpl w:val="360EF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8274F"/>
    <w:multiLevelType w:val="multilevel"/>
    <w:tmpl w:val="5AD65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9628ED"/>
    <w:multiLevelType w:val="multilevel"/>
    <w:tmpl w:val="6A92D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8071AE"/>
    <w:multiLevelType w:val="multilevel"/>
    <w:tmpl w:val="BC767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F16BB0"/>
    <w:multiLevelType w:val="multilevel"/>
    <w:tmpl w:val="3C4C8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515AF6"/>
    <w:multiLevelType w:val="multilevel"/>
    <w:tmpl w:val="8F540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4221EC0"/>
    <w:multiLevelType w:val="multilevel"/>
    <w:tmpl w:val="D3F6F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40798E"/>
    <w:multiLevelType w:val="multilevel"/>
    <w:tmpl w:val="136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F4C6717"/>
    <w:multiLevelType w:val="multilevel"/>
    <w:tmpl w:val="671C3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780F08"/>
    <w:multiLevelType w:val="multilevel"/>
    <w:tmpl w:val="9978F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5D34E3"/>
    <w:multiLevelType w:val="multilevel"/>
    <w:tmpl w:val="39DC3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CE00F90"/>
    <w:multiLevelType w:val="multilevel"/>
    <w:tmpl w:val="7368B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5B1CA2"/>
    <w:multiLevelType w:val="multilevel"/>
    <w:tmpl w:val="633A00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7DC0EE7"/>
    <w:multiLevelType w:val="multilevel"/>
    <w:tmpl w:val="D8D4BD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16604BE"/>
    <w:multiLevelType w:val="multilevel"/>
    <w:tmpl w:val="33268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3B62A3B"/>
    <w:multiLevelType w:val="multilevel"/>
    <w:tmpl w:val="AC526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9A26F66"/>
    <w:multiLevelType w:val="multilevel"/>
    <w:tmpl w:val="F9840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081CC7"/>
    <w:multiLevelType w:val="multilevel"/>
    <w:tmpl w:val="684A7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D6F3E68"/>
    <w:multiLevelType w:val="multilevel"/>
    <w:tmpl w:val="C2084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85F476A"/>
    <w:multiLevelType w:val="multilevel"/>
    <w:tmpl w:val="CF8A5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D3535D"/>
    <w:multiLevelType w:val="multilevel"/>
    <w:tmpl w:val="96AA8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48E38CC"/>
    <w:multiLevelType w:val="multilevel"/>
    <w:tmpl w:val="60228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5F875BA"/>
    <w:multiLevelType w:val="multilevel"/>
    <w:tmpl w:val="772C3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B7469D7"/>
    <w:multiLevelType w:val="multilevel"/>
    <w:tmpl w:val="314C9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CF171A4"/>
    <w:multiLevelType w:val="multilevel"/>
    <w:tmpl w:val="F196A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22"/>
  </w:num>
  <w:num w:numId="3">
    <w:abstractNumId w:val="17"/>
  </w:num>
  <w:num w:numId="4">
    <w:abstractNumId w:val="6"/>
  </w:num>
  <w:num w:numId="5">
    <w:abstractNumId w:val="10"/>
  </w:num>
  <w:num w:numId="6">
    <w:abstractNumId w:val="14"/>
  </w:num>
  <w:num w:numId="7">
    <w:abstractNumId w:val="21"/>
  </w:num>
  <w:num w:numId="8">
    <w:abstractNumId w:val="0"/>
  </w:num>
  <w:num w:numId="9">
    <w:abstractNumId w:val="11"/>
  </w:num>
  <w:num w:numId="10">
    <w:abstractNumId w:val="16"/>
  </w:num>
  <w:num w:numId="11">
    <w:abstractNumId w:val="24"/>
  </w:num>
  <w:num w:numId="12">
    <w:abstractNumId w:val="20"/>
  </w:num>
  <w:num w:numId="13">
    <w:abstractNumId w:val="3"/>
  </w:num>
  <w:num w:numId="14">
    <w:abstractNumId w:val="18"/>
  </w:num>
  <w:num w:numId="15">
    <w:abstractNumId w:val="5"/>
  </w:num>
  <w:num w:numId="16">
    <w:abstractNumId w:val="1"/>
  </w:num>
  <w:num w:numId="17">
    <w:abstractNumId w:val="4"/>
  </w:num>
  <w:num w:numId="18">
    <w:abstractNumId w:val="7"/>
  </w:num>
  <w:num w:numId="19">
    <w:abstractNumId w:val="9"/>
  </w:num>
  <w:num w:numId="20">
    <w:abstractNumId w:val="15"/>
  </w:num>
  <w:num w:numId="21">
    <w:abstractNumId w:val="13"/>
  </w:num>
  <w:num w:numId="22">
    <w:abstractNumId w:val="12"/>
  </w:num>
  <w:num w:numId="23">
    <w:abstractNumId w:val="2"/>
  </w:num>
  <w:num w:numId="24">
    <w:abstractNumId w:val="19"/>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D75"/>
    <w:rsid w:val="00854D93"/>
    <w:rsid w:val="00B82D75"/>
    <w:rsid w:val="00D3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BF468"/>
  <w15:chartTrackingRefBased/>
  <w15:docId w15:val="{E806181D-FB79-452B-8044-D281E2215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82D75"/>
    <w:rPr>
      <w:color w:val="0000FF"/>
      <w:u w:val="single"/>
    </w:rPr>
  </w:style>
  <w:style w:type="paragraph" w:styleId="NormalWeb">
    <w:name w:val="Normal (Web)"/>
    <w:basedOn w:val="Normal"/>
    <w:uiPriority w:val="99"/>
    <w:semiHidden/>
    <w:unhideWhenUsed/>
    <w:rsid w:val="00B82D7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82D75"/>
    <w:rPr>
      <w:b/>
      <w:bCs/>
    </w:rPr>
  </w:style>
  <w:style w:type="character" w:styleId="Emphasis">
    <w:name w:val="Emphasis"/>
    <w:basedOn w:val="DefaultParagraphFont"/>
    <w:uiPriority w:val="20"/>
    <w:qFormat/>
    <w:rsid w:val="00B82D7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0914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5003</Words>
  <Characters>28521</Characters>
  <Application>Microsoft Office Word</Application>
  <DocSecurity>0</DocSecurity>
  <Lines>237</Lines>
  <Paragraphs>66</Paragraphs>
  <ScaleCrop>false</ScaleCrop>
  <Company/>
  <LinksUpToDate>false</LinksUpToDate>
  <CharactersWithSpaces>33458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RATCLIFF-SMALL, LA TRICE</dc:creator>
  <cp:keywords/>
  <dc:description/>
  <cp:lastModifiedBy>RATCLIFF-SMALL, LA TRICE</cp:lastModifiedBy>
  <cp:revision>1</cp:revision>
  <dcterms:created xsi:type="dcterms:W3CDTF">2021-02-06T01:14:00Z</dcterms:created>
  <dcterms:modified xsi:type="dcterms:W3CDTF">2021-02-06T01:15:00Z</dcterms:modified>
</cp:coreProperties>
</file>